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B7099B" w14:textId="77777777" w:rsidR="00385FFB" w:rsidRPr="00424050" w:rsidRDefault="00385FFB" w:rsidP="00385FFB"/>
    <w:p w14:paraId="76CEA07E" w14:textId="77777777" w:rsidR="00385FFB" w:rsidRPr="00424050" w:rsidRDefault="00385FFB" w:rsidP="00385FFB"/>
    <w:p w14:paraId="63833CD8" w14:textId="77777777" w:rsidR="00385FFB" w:rsidRPr="00424050" w:rsidRDefault="00385FFB" w:rsidP="00385FFB"/>
    <w:p w14:paraId="16210A83" w14:textId="77777777" w:rsidR="00385FFB" w:rsidRPr="00424050" w:rsidRDefault="00385FFB" w:rsidP="00385FFB">
      <w:pPr>
        <w:jc w:val="center"/>
        <w:rPr>
          <w:smallCaps/>
        </w:rPr>
      </w:pPr>
      <w:r w:rsidRPr="00424050">
        <w:rPr>
          <w:smallCaps/>
        </w:rPr>
        <w:t>Maria Barbara Savo</w:t>
      </w:r>
    </w:p>
    <w:p w14:paraId="7DE44BA7" w14:textId="77777777" w:rsidR="00385FFB" w:rsidRPr="00424050" w:rsidRDefault="00385FFB" w:rsidP="00385FFB"/>
    <w:p w14:paraId="75AE4BB0" w14:textId="77777777" w:rsidR="00385FFB" w:rsidRPr="00424050" w:rsidRDefault="00385FFB" w:rsidP="00385FFB"/>
    <w:p w14:paraId="08392B7A" w14:textId="733B7A24" w:rsidR="003978FF" w:rsidRPr="00424050" w:rsidRDefault="00E51BB6" w:rsidP="003978FF">
      <w:pPr>
        <w:spacing w:after="120"/>
        <w:jc w:val="center"/>
        <w:rPr>
          <w:caps/>
          <w:sz w:val="26"/>
          <w:szCs w:val="26"/>
        </w:rPr>
      </w:pPr>
      <w:r w:rsidRPr="00424050">
        <w:rPr>
          <w:caps/>
          <w:sz w:val="26"/>
          <w:szCs w:val="26"/>
        </w:rPr>
        <w:t>Poikilia</w:t>
      </w:r>
    </w:p>
    <w:p w14:paraId="632AC669" w14:textId="4CDD5AF4" w:rsidR="00E51BB6" w:rsidRPr="00424050" w:rsidRDefault="00E51BB6" w:rsidP="00385FFB">
      <w:pPr>
        <w:jc w:val="center"/>
        <w:rPr>
          <w:caps/>
          <w:sz w:val="22"/>
        </w:rPr>
      </w:pPr>
      <w:r w:rsidRPr="00424050">
        <w:rPr>
          <w:caps/>
          <w:sz w:val="22"/>
        </w:rPr>
        <w:t>Frammenti</w:t>
      </w:r>
      <w:r w:rsidR="003978FF" w:rsidRPr="00424050">
        <w:rPr>
          <w:caps/>
          <w:sz w:val="22"/>
        </w:rPr>
        <w:t xml:space="preserve"> </w:t>
      </w:r>
      <w:r w:rsidRPr="00424050">
        <w:rPr>
          <w:caps/>
          <w:sz w:val="22"/>
        </w:rPr>
        <w:t>di una trasformazione irreversibile</w:t>
      </w:r>
    </w:p>
    <w:p w14:paraId="7B0AA3FA" w14:textId="77777777" w:rsidR="00E51BB6" w:rsidRPr="00424050" w:rsidRDefault="00E51BB6" w:rsidP="00385FFB"/>
    <w:p w14:paraId="55B03E3D" w14:textId="77777777" w:rsidR="00385FFB" w:rsidRPr="00424050" w:rsidRDefault="00385FFB" w:rsidP="00385FFB">
      <w:pPr>
        <w:jc w:val="both"/>
      </w:pPr>
    </w:p>
    <w:p w14:paraId="5FFB421B" w14:textId="77777777" w:rsidR="00385FFB" w:rsidRPr="00424050" w:rsidRDefault="00385FFB" w:rsidP="00385FFB">
      <w:pPr>
        <w:jc w:val="both"/>
      </w:pPr>
    </w:p>
    <w:p w14:paraId="08FDD920" w14:textId="69DA9E70" w:rsidR="00E51BB6" w:rsidRPr="00424050" w:rsidRDefault="00385FFB" w:rsidP="00385FFB">
      <w:pPr>
        <w:jc w:val="both"/>
      </w:pPr>
      <w:r w:rsidRPr="00424050">
        <w:tab/>
      </w:r>
      <w:r w:rsidR="009C108F" w:rsidRPr="00424050">
        <w:t xml:space="preserve">Il IV secolo fu a lungo considerato un secolo di ristagno, compresso tra l’età classica e l’ellenismo. In tempi relativamente recenti gli studi sociopolitici, economici e culturali hanno, invece, evidenziato uno straordinario dinamismo la cui portata è testimoniata da una eccezionale rinascita economica di Atene cui si accompagnò una trasformazione sociale radicale e verificabile a molteplici livelli. I </w:t>
      </w:r>
      <w:r w:rsidR="009C108F" w:rsidRPr="00424050">
        <w:rPr>
          <w:i/>
          <w:iCs/>
        </w:rPr>
        <w:t>Poroi</w:t>
      </w:r>
      <w:r w:rsidR="009C108F" w:rsidRPr="00424050">
        <w:t xml:space="preserve"> di Senofonte, la cui composizione è da ascrivere ai difficili anni della guerra sociale</w:t>
      </w:r>
      <w:r w:rsidR="009C108F" w:rsidRPr="00424050">
        <w:rPr>
          <w:rStyle w:val="Rimandonotaapidipagina"/>
        </w:rPr>
        <w:footnoteReference w:id="1"/>
      </w:r>
      <w:r w:rsidR="009C108F" w:rsidRPr="00424050">
        <w:t>, ben rappresenta il dibattito tra gli economisti del IV secolo, consapevoli di trovarsi in un momento epocale</w:t>
      </w:r>
      <w:r w:rsidR="009C108F" w:rsidRPr="00424050">
        <w:rPr>
          <w:rStyle w:val="Rimandonotaapidipagina"/>
        </w:rPr>
        <w:footnoteReference w:id="2"/>
      </w:r>
      <w:r w:rsidR="009C108F" w:rsidRPr="00424050">
        <w:t xml:space="preserve">: come noto, lo scritto analizza le concrete possibilità di avviare iniziative radicali i cui risultati, a medio e a lungo termine, avrebbero permesso l’affermarsi di una nuova Atene, totalmente </w:t>
      </w:r>
      <w:r w:rsidR="009C108F" w:rsidRPr="00424050">
        <w:lastRenderedPageBreak/>
        <w:t xml:space="preserve">rinnovata e in grado di assolvere, nuovamente, al ruolo di centro politico ed economico della Grecia tutta. Un rinnovamento che, appare chiaro, si fonda su due punti essenziali: la necessità di uno stato pacifico e un leader dalle virtù e capacità specifiche, </w:t>
      </w:r>
      <w:r w:rsidR="001D4CED" w:rsidRPr="00424050">
        <w:t xml:space="preserve">elementi </w:t>
      </w:r>
      <w:r w:rsidR="009C108F" w:rsidRPr="00424050">
        <w:t xml:space="preserve">che Senofonte evidenzia nel corso di tutto lo scritto e, più in generale, ha modo di sviluppare, a più riprese, nei </w:t>
      </w:r>
      <w:r w:rsidR="009C108F" w:rsidRPr="00424050">
        <w:rPr>
          <w:i/>
          <w:iCs/>
        </w:rPr>
        <w:t>Memorabilia</w:t>
      </w:r>
      <w:r w:rsidR="009C108F" w:rsidRPr="00424050">
        <w:rPr>
          <w:rStyle w:val="Rimandonotaapidipagina"/>
        </w:rPr>
        <w:footnoteReference w:id="3"/>
      </w:r>
      <w:r w:rsidR="009C108F" w:rsidRPr="00424050">
        <w:t>. Il leader ideale per Senofonte è colui che possiede la piena conoscenza delle sue possibilità (</w:t>
      </w:r>
      <w:r w:rsidR="009C108F" w:rsidRPr="00424050">
        <w:rPr>
          <w:i/>
          <w:iCs/>
        </w:rPr>
        <w:t>dynamis</w:t>
      </w:r>
      <w:r w:rsidR="009C108F" w:rsidRPr="00424050">
        <w:t>)</w:t>
      </w:r>
      <w:r w:rsidR="009C108F" w:rsidRPr="00424050">
        <w:rPr>
          <w:rStyle w:val="Rimandonotaapidipagina"/>
        </w:rPr>
        <w:footnoteReference w:id="4"/>
      </w:r>
      <w:r w:rsidR="009C108F" w:rsidRPr="00424050">
        <w:t>, perfettamente padrone di sé e di tutte le sue pulsioni, così da essere costantemente esempio di autodisciplina</w:t>
      </w:r>
      <w:r w:rsidR="009C108F" w:rsidRPr="00424050">
        <w:rPr>
          <w:rStyle w:val="Rimandonotaapidipagina"/>
        </w:rPr>
        <w:footnoteReference w:id="5"/>
      </w:r>
      <w:r w:rsidR="009C108F" w:rsidRPr="00424050">
        <w:t xml:space="preserve">, che si </w:t>
      </w:r>
      <w:r w:rsidR="001D4CED" w:rsidRPr="00424050">
        <w:t>evidenzierà</w:t>
      </w:r>
      <w:r w:rsidR="009C108F" w:rsidRPr="00424050">
        <w:t xml:space="preserve"> attraverso una frugalità manifesta</w:t>
      </w:r>
      <w:r w:rsidR="009C108F" w:rsidRPr="00424050">
        <w:rPr>
          <w:rStyle w:val="Rimandonotaapidipagina"/>
        </w:rPr>
        <w:footnoteReference w:id="6"/>
      </w:r>
      <w:r w:rsidR="009C108F" w:rsidRPr="00424050">
        <w:t>; il suo scopo è l’</w:t>
      </w:r>
      <w:r w:rsidR="009C108F" w:rsidRPr="00424050">
        <w:rPr>
          <w:i/>
          <w:iCs/>
        </w:rPr>
        <w:t>eudaimonia</w:t>
      </w:r>
      <w:r w:rsidR="009C108F" w:rsidRPr="00424050">
        <w:t xml:space="preserve"> del suo popolo, che è tanto morale quanto materiale, di cui deve essere liberale fornitore nonché garante, stimolando, attraverso la promessa di onori e ricompense</w:t>
      </w:r>
      <w:r w:rsidR="009C108F" w:rsidRPr="00424050">
        <w:rPr>
          <w:rStyle w:val="Rimandonotaapidipagina"/>
        </w:rPr>
        <w:footnoteReference w:id="7"/>
      </w:r>
      <w:r w:rsidR="009C108F" w:rsidRPr="00424050">
        <w:t>, un continuo agone tra Ateniesi e filoateniesi nelle manifestazioni evergetiche</w:t>
      </w:r>
      <w:r w:rsidR="009C108F" w:rsidRPr="00424050">
        <w:rPr>
          <w:rStyle w:val="Rimandonotaapidipagina"/>
        </w:rPr>
        <w:footnoteReference w:id="8"/>
      </w:r>
      <w:r w:rsidR="009C108F" w:rsidRPr="00424050">
        <w:t>. Se nulla sappiamo di Eubulo</w:t>
      </w:r>
      <w:r w:rsidR="009C108F" w:rsidRPr="00424050">
        <w:rPr>
          <w:rStyle w:val="Rimandonotaapidipagina"/>
        </w:rPr>
        <w:footnoteReference w:id="9"/>
      </w:r>
      <w:r w:rsidR="009C108F" w:rsidRPr="00424050">
        <w:t xml:space="preserve">, la descrizione che ci è rimasta di Licurgo attraverso </w:t>
      </w:r>
      <w:r w:rsidR="009C108F" w:rsidRPr="00424050">
        <w:lastRenderedPageBreak/>
        <w:t>la vita ps.-plutarchea</w:t>
      </w:r>
      <w:r w:rsidR="009C108F" w:rsidRPr="00424050">
        <w:rPr>
          <w:rStyle w:val="Rimandonotaapidipagina"/>
        </w:rPr>
        <w:footnoteReference w:id="10"/>
      </w:r>
      <w:r w:rsidR="009C108F" w:rsidRPr="00424050">
        <w:t xml:space="preserve"> </w:t>
      </w:r>
      <w:r w:rsidR="001D4CED" w:rsidRPr="00424050">
        <w:t xml:space="preserve">e il </w:t>
      </w:r>
      <w:r w:rsidR="009C108F" w:rsidRPr="00424050">
        <w:t>decreto onorario tributatogli postumo</w:t>
      </w:r>
      <w:r w:rsidR="009C108F" w:rsidRPr="00424050">
        <w:rPr>
          <w:rStyle w:val="Rimandonotaapidipagina"/>
        </w:rPr>
        <w:footnoteReference w:id="11"/>
      </w:r>
      <w:r w:rsidR="001D4CED" w:rsidRPr="00424050">
        <w:t>,</w:t>
      </w:r>
      <w:r w:rsidR="009C108F" w:rsidRPr="00424050">
        <w:t xml:space="preserve"> sembra perfettamente ricalcare l’ideale leader senofonteo</w:t>
      </w:r>
      <w:r w:rsidR="009C108F" w:rsidRPr="00424050">
        <w:rPr>
          <w:rStyle w:val="Rimandonotaapidipagina"/>
        </w:rPr>
        <w:footnoteReference w:id="12"/>
      </w:r>
      <w:r w:rsidR="009C108F" w:rsidRPr="00424050">
        <w:t>. Votato alla missione politica dopo aver praticato la filosofia</w:t>
      </w:r>
      <w:r w:rsidR="009C108F" w:rsidRPr="00424050">
        <w:rPr>
          <w:rStyle w:val="Rimandonotaapidipagina"/>
        </w:rPr>
        <w:footnoteReference w:id="13"/>
      </w:r>
      <w:r w:rsidR="009C108F" w:rsidRPr="00424050">
        <w:t xml:space="preserve">, </w:t>
      </w:r>
      <w:r w:rsidR="001D4CED" w:rsidRPr="00424050">
        <w:t xml:space="preserve">abile nel </w:t>
      </w:r>
      <w:r w:rsidR="009C108F" w:rsidRPr="00424050">
        <w:t>creare attorno a s</w:t>
      </w:r>
      <w:r w:rsidR="00835F79" w:rsidRPr="00424050">
        <w:t>é</w:t>
      </w:r>
      <w:r w:rsidR="009C108F" w:rsidRPr="00424050">
        <w:t xml:space="preserve"> un gruppo di uomini della cui fiducia gode perché onesto e pio verso la città, i suoi abitanti e gli </w:t>
      </w:r>
      <w:r w:rsidR="00533BDC" w:rsidRPr="00424050">
        <w:t>dèi</w:t>
      </w:r>
      <w:r w:rsidR="009C108F" w:rsidRPr="00424050">
        <w:rPr>
          <w:rStyle w:val="Rimandonotaapidipagina"/>
        </w:rPr>
        <w:footnoteReference w:id="14"/>
      </w:r>
      <w:r w:rsidR="009C108F" w:rsidRPr="00424050">
        <w:t xml:space="preserve">, </w:t>
      </w:r>
      <w:r w:rsidR="001929D9" w:rsidRPr="00424050">
        <w:t>c</w:t>
      </w:r>
      <w:r w:rsidR="009C108F" w:rsidRPr="00424050">
        <w:t xml:space="preserve">apace di sollecitare atti di evergesia nel popolo e capo riconosciuto di una </w:t>
      </w:r>
      <w:r w:rsidR="008A3673" w:rsidRPr="00424050">
        <w:rPr>
          <w:i/>
          <w:iCs/>
        </w:rPr>
        <w:t>élite</w:t>
      </w:r>
      <w:r w:rsidR="009C108F" w:rsidRPr="00424050">
        <w:t xml:space="preserve"> con cui lavora al bene degli Ateniesi non difettando, nei loro confronti, in magnanimità; </w:t>
      </w:r>
      <w:r w:rsidR="00982781" w:rsidRPr="00424050">
        <w:t>i</w:t>
      </w:r>
      <w:r w:rsidR="009C108F" w:rsidRPr="00424050">
        <w:t>ntegerrimo e incorruttibile</w:t>
      </w:r>
      <w:r w:rsidR="000B7C5A" w:rsidRPr="00424050">
        <w:t>.</w:t>
      </w:r>
      <w:r w:rsidR="009C108F" w:rsidRPr="00424050">
        <w:t xml:space="preserve"> </w:t>
      </w:r>
      <w:r w:rsidR="000B7C5A" w:rsidRPr="00424050">
        <w:t>C</w:t>
      </w:r>
      <w:r w:rsidR="009C108F" w:rsidRPr="00424050">
        <w:t>ensore di se stesso prima che degli altri</w:t>
      </w:r>
      <w:r w:rsidR="00E01CE5" w:rsidRPr="00424050">
        <w:rPr>
          <w:rStyle w:val="Rimandonotaapidipagina"/>
        </w:rPr>
        <w:footnoteReference w:id="15"/>
      </w:r>
      <w:r w:rsidR="009C108F" w:rsidRPr="00424050">
        <w:t>, Licurgo viene</w:t>
      </w:r>
      <w:r w:rsidR="000B7C5A" w:rsidRPr="00424050">
        <w:t xml:space="preserve"> </w:t>
      </w:r>
      <w:r w:rsidR="000B7C5A" w:rsidRPr="00424050">
        <w:lastRenderedPageBreak/>
        <w:t xml:space="preserve">inoltre </w:t>
      </w:r>
      <w:r w:rsidR="009C108F" w:rsidRPr="00424050">
        <w:t>caratterizzato da un’autodisciplina che crea un alone di laconismo eroico intorno alla sua figura</w:t>
      </w:r>
      <w:r w:rsidR="009C108F" w:rsidRPr="00424050">
        <w:rPr>
          <w:rStyle w:val="Rimandonotaapidipagina"/>
        </w:rPr>
        <w:footnoteReference w:id="16"/>
      </w:r>
      <w:r w:rsidR="009C108F" w:rsidRPr="00424050">
        <w:t>.</w:t>
      </w:r>
    </w:p>
    <w:p w14:paraId="0D7F55FA" w14:textId="2682EBC1" w:rsidR="00E51BB6" w:rsidRPr="00424050" w:rsidRDefault="00385FFB" w:rsidP="00385FFB">
      <w:pPr>
        <w:jc w:val="both"/>
        <w:rPr>
          <w:i/>
          <w:iCs/>
        </w:rPr>
      </w:pPr>
      <w:r w:rsidRPr="00424050">
        <w:tab/>
      </w:r>
      <w:r w:rsidR="00E51BB6" w:rsidRPr="00424050">
        <w:t>La portata dell’operato d</w:t>
      </w:r>
      <w:r w:rsidR="00985130" w:rsidRPr="00424050">
        <w:t>el Butade</w:t>
      </w:r>
      <w:r w:rsidR="00E51BB6" w:rsidRPr="00424050">
        <w:t xml:space="preserve"> è stata più volte posta sotto l’attenta osservazione degli storici moderni </w:t>
      </w:r>
      <w:r w:rsidR="000B7C5A" w:rsidRPr="00424050">
        <w:t>in un</w:t>
      </w:r>
      <w:r w:rsidR="00E51BB6" w:rsidRPr="00424050">
        <w:t>’ottica di rid</w:t>
      </w:r>
      <w:r w:rsidR="00985130" w:rsidRPr="00424050">
        <w:t>imensiona</w:t>
      </w:r>
      <w:r w:rsidR="000B7C5A" w:rsidRPr="00424050">
        <w:t>mento</w:t>
      </w:r>
      <w:r w:rsidR="00E51BB6" w:rsidRPr="00424050">
        <w:t>, senza tuttavia ottenere risultati del tutto convincenti</w:t>
      </w:r>
      <w:r w:rsidR="00E51BB6" w:rsidRPr="00424050">
        <w:rPr>
          <w:rStyle w:val="Rimandonotaapidipagina"/>
        </w:rPr>
        <w:footnoteReference w:id="17"/>
      </w:r>
      <w:r w:rsidR="00092F70" w:rsidRPr="00424050">
        <w:t xml:space="preserve">, così </w:t>
      </w:r>
      <w:r w:rsidR="00E51BB6" w:rsidRPr="00424050">
        <w:t xml:space="preserve">la c.d. </w:t>
      </w:r>
      <w:r w:rsidR="00F37E15" w:rsidRPr="00424050">
        <w:t>E</w:t>
      </w:r>
      <w:r w:rsidR="00E51BB6" w:rsidRPr="00424050">
        <w:t xml:space="preserve">tà di Licurgo, il periodo compreso tra </w:t>
      </w:r>
      <w:r w:rsidR="00885FB3" w:rsidRPr="00424050">
        <w:t xml:space="preserve">il 338 (anno della sconfitta a </w:t>
      </w:r>
      <w:r w:rsidR="00E51BB6" w:rsidRPr="00424050">
        <w:t>Cheronea</w:t>
      </w:r>
      <w:r w:rsidR="00885FB3" w:rsidRPr="00424050">
        <w:t>)</w:t>
      </w:r>
      <w:r w:rsidR="00E51BB6" w:rsidRPr="00424050">
        <w:t xml:space="preserve"> e il 324 (o</w:t>
      </w:r>
      <w:r w:rsidR="00885FB3" w:rsidRPr="00424050">
        <w:t>, forse meglio il</w:t>
      </w:r>
      <w:r w:rsidR="00E51BB6" w:rsidRPr="00424050">
        <w:t xml:space="preserve"> 322</w:t>
      </w:r>
      <w:r w:rsidR="00885FB3" w:rsidRPr="00424050">
        <w:t>, anno della sconfitta a Crannon</w:t>
      </w:r>
      <w:r w:rsidR="000C3578" w:rsidRPr="00424050">
        <w:t>e</w:t>
      </w:r>
      <w:r w:rsidR="00E51BB6" w:rsidRPr="00424050">
        <w:t>) c</w:t>
      </w:r>
      <w:r w:rsidR="00C7733D" w:rsidRPr="00424050">
        <w:t>ontinua ad essere</w:t>
      </w:r>
      <w:r w:rsidR="000B7C5A" w:rsidRPr="00424050">
        <w:t>, a buon diritto,</w:t>
      </w:r>
      <w:r w:rsidR="00C7733D" w:rsidRPr="00424050">
        <w:t xml:space="preserve"> considerato </w:t>
      </w:r>
      <w:r w:rsidR="00E51BB6" w:rsidRPr="00424050">
        <w:t>un momento chiave nel processo di trasformazione della storia di Atene</w:t>
      </w:r>
      <w:r w:rsidR="00E51BB6" w:rsidRPr="00424050">
        <w:rPr>
          <w:rStyle w:val="Rimandonotaapidipagina"/>
        </w:rPr>
        <w:footnoteReference w:id="18"/>
      </w:r>
      <w:r w:rsidR="0047693B" w:rsidRPr="00424050">
        <w:t xml:space="preserve">, un </w:t>
      </w:r>
      <w:r w:rsidR="00E51BB6" w:rsidRPr="00424050">
        <w:t>momento di codifica delle nuove realtà, definita attraverso il linguaggio aulico dell’età classica, caratterizzato tuttavia da una sottile</w:t>
      </w:r>
      <w:r w:rsidR="00F37E15" w:rsidRPr="00424050">
        <w:t>,</w:t>
      </w:r>
      <w:r w:rsidR="00E51BB6" w:rsidRPr="00424050">
        <w:t xml:space="preserve"> ma fondamentale riderterminazione semantica. Riprendendo le parole di </w:t>
      </w:r>
      <w:r w:rsidR="00885FB3" w:rsidRPr="00424050">
        <w:t xml:space="preserve">D. </w:t>
      </w:r>
      <w:r w:rsidR="00E51BB6" w:rsidRPr="00424050">
        <w:t>Marchiandi, si trattò di una “Restaurazione” pianificata e sistematicamente messa in atto con tutte le risorse a disposizione</w:t>
      </w:r>
      <w:r w:rsidR="00E51BB6" w:rsidRPr="00424050">
        <w:rPr>
          <w:rStyle w:val="Rimandonotaapidipagina"/>
        </w:rPr>
        <w:footnoteReference w:id="19"/>
      </w:r>
      <w:r w:rsidR="00E51BB6" w:rsidRPr="00424050">
        <w:t>.</w:t>
      </w:r>
    </w:p>
    <w:p w14:paraId="0EB25751" w14:textId="4838163D" w:rsidR="00CA632F" w:rsidRPr="00424050" w:rsidRDefault="00385FFB" w:rsidP="00385FFB">
      <w:pPr>
        <w:jc w:val="both"/>
      </w:pPr>
      <w:r w:rsidRPr="00424050">
        <w:lastRenderedPageBreak/>
        <w:tab/>
      </w:r>
      <w:r w:rsidR="00E51BB6" w:rsidRPr="00424050">
        <w:t>A questa restaurazione sembra aver contribuito, in maniera concreta, Fanodemo di Timetade</w:t>
      </w:r>
      <w:r w:rsidR="00E51BB6" w:rsidRPr="00424050">
        <w:rPr>
          <w:rStyle w:val="Rimandonotaapidipagina"/>
        </w:rPr>
        <w:footnoteReference w:id="20"/>
      </w:r>
      <w:r w:rsidR="00E51BB6" w:rsidRPr="00424050">
        <w:t xml:space="preserve">, noto attraverso la definizione jacobiana di “minister of public worship and education” del governo di Licurgo, </w:t>
      </w:r>
      <w:r w:rsidR="00F37E15" w:rsidRPr="00424050">
        <w:t xml:space="preserve">classificazione </w:t>
      </w:r>
      <w:r w:rsidR="00E51BB6" w:rsidRPr="00424050">
        <w:t xml:space="preserve">fors’anche imprecisa per il riferimento ad un ruolo strutturato e moderno, ma che riassumeva l’attività di uno scrittore di </w:t>
      </w:r>
      <w:r w:rsidR="00E51BB6" w:rsidRPr="00424050">
        <w:rPr>
          <w:i/>
          <w:iCs/>
        </w:rPr>
        <w:t>Atthis</w:t>
      </w:r>
      <w:r w:rsidR="00E51BB6" w:rsidRPr="00424050">
        <w:t xml:space="preserve"> che appare direttamente dipendente dal progetto di rifondazione della Polis da parte dell’</w:t>
      </w:r>
      <w:r w:rsidR="00E51BB6" w:rsidRPr="00424050">
        <w:rPr>
          <w:i/>
          <w:iCs/>
        </w:rPr>
        <w:t>élite</w:t>
      </w:r>
      <w:r w:rsidR="00E51BB6" w:rsidRPr="00424050">
        <w:t xml:space="preserve"> al potere</w:t>
      </w:r>
      <w:r w:rsidR="00E51BB6" w:rsidRPr="00424050">
        <w:rPr>
          <w:rStyle w:val="Rimandonotaapidipagina"/>
        </w:rPr>
        <w:footnoteReference w:id="21"/>
      </w:r>
      <w:r w:rsidR="00E51BB6" w:rsidRPr="00424050">
        <w:t xml:space="preserve">. La funzione dell’opera dell’attidografo sembra esser stata quella di fornire al proprio pubblico, </w:t>
      </w:r>
      <w:r w:rsidR="00885FB3" w:rsidRPr="00424050">
        <w:t>per mezzo di</w:t>
      </w:r>
      <w:r w:rsidR="00E51BB6" w:rsidRPr="00424050">
        <w:t xml:space="preserve"> </w:t>
      </w:r>
      <w:r w:rsidR="00885FB3" w:rsidRPr="00424050">
        <w:t>un</w:t>
      </w:r>
      <w:r w:rsidR="00E51BB6" w:rsidRPr="00424050">
        <w:t>’opportuna narrazione dell’</w:t>
      </w:r>
      <w:r w:rsidR="00E51BB6" w:rsidRPr="00424050">
        <w:rPr>
          <w:i/>
          <w:iCs/>
        </w:rPr>
        <w:t>archaiologhia</w:t>
      </w:r>
      <w:r w:rsidR="00E51BB6" w:rsidRPr="00424050">
        <w:t xml:space="preserve"> di Atene, gli strumenti per comprendere le radici storiche (e mitostoriche) in grado di legittimare i provvedimenti politici, economici e sociali della politica del momento. </w:t>
      </w:r>
      <w:r w:rsidR="00E11873" w:rsidRPr="00424050">
        <w:t>Nei frammenti superstiti dell’</w:t>
      </w:r>
      <w:r w:rsidR="00E11873" w:rsidRPr="00424050">
        <w:rPr>
          <w:i/>
          <w:iCs/>
        </w:rPr>
        <w:t>Atthis</w:t>
      </w:r>
      <w:r w:rsidR="00E11873" w:rsidRPr="00424050">
        <w:t xml:space="preserve"> fanodemea</w:t>
      </w:r>
      <w:r w:rsidR="00CA632F" w:rsidRPr="00424050">
        <w:t xml:space="preserve"> appaiono evidenti</w:t>
      </w:r>
      <w:r w:rsidR="00E51BB6" w:rsidRPr="00424050">
        <w:t xml:space="preserve"> le tecniche di codifica del passato </w:t>
      </w:r>
      <w:r w:rsidR="00E11873" w:rsidRPr="00424050">
        <w:t>ma</w:t>
      </w:r>
      <w:r w:rsidR="00E51BB6" w:rsidRPr="00424050">
        <w:t>, soprattutto, quegli interventi sulle tradizioni epicorie funzionali alla creazione di una nuova età eroica</w:t>
      </w:r>
      <w:r w:rsidR="00F37E15" w:rsidRPr="00424050">
        <w:rPr>
          <w:rStyle w:val="Rimandonotaapidipagina"/>
        </w:rPr>
        <w:footnoteReference w:id="22"/>
      </w:r>
      <w:r w:rsidR="00E51BB6" w:rsidRPr="00424050">
        <w:t xml:space="preserve">. </w:t>
      </w:r>
      <w:r w:rsidR="00E11873" w:rsidRPr="00424050">
        <w:t>E l</w:t>
      </w:r>
      <w:r w:rsidR="00E51BB6" w:rsidRPr="00424050">
        <w:t xml:space="preserve">a centralità del </w:t>
      </w:r>
      <w:r w:rsidR="00E11873" w:rsidRPr="00424050">
        <w:t>nostro autore</w:t>
      </w:r>
      <w:r w:rsidR="00E51BB6" w:rsidRPr="00424050">
        <w:t xml:space="preserve"> </w:t>
      </w:r>
      <w:r w:rsidR="00E11873" w:rsidRPr="00424050">
        <w:t xml:space="preserve">nella politica culturale di Atene della seconda metà del IV secolo </w:t>
      </w:r>
      <w:r w:rsidR="00E51BB6" w:rsidRPr="00424050">
        <w:t>viene confermata dalla presenza del suo nome in documenti epigrafici che evidenziano, testo dopo testo, elementi connotanti la nuova società.</w:t>
      </w:r>
    </w:p>
    <w:p w14:paraId="4C0DD706" w14:textId="2ABA0F8F" w:rsidR="00E51BB6" w:rsidRPr="00424050" w:rsidRDefault="00385FFB" w:rsidP="00385FFB">
      <w:pPr>
        <w:jc w:val="both"/>
      </w:pPr>
      <w:r w:rsidRPr="00424050">
        <w:tab/>
      </w:r>
      <w:r w:rsidR="00E51BB6" w:rsidRPr="00424050">
        <w:t>La più antica attestazione del nostro personaggio è datata al 343/2</w:t>
      </w:r>
      <w:r w:rsidR="000B7C5A" w:rsidRPr="00424050">
        <w:t xml:space="preserve"> e</w:t>
      </w:r>
      <w:r w:rsidR="00E51BB6" w:rsidRPr="00424050">
        <w:t xml:space="preserve"> si tr</w:t>
      </w:r>
      <w:r w:rsidR="000B7C5A" w:rsidRPr="00424050">
        <w:t>ova in</w:t>
      </w:r>
      <w:r w:rsidR="00E34779">
        <w:t xml:space="preserve"> </w:t>
      </w:r>
      <w:r w:rsidR="00E51BB6" w:rsidRPr="00424050">
        <w:rPr>
          <w:i/>
          <w:iCs/>
        </w:rPr>
        <w:t>IG</w:t>
      </w:r>
      <w:r w:rsidR="00E51BB6" w:rsidRPr="00424050">
        <w:t xml:space="preserve"> II</w:t>
      </w:r>
      <w:r w:rsidR="00E51BB6" w:rsidRPr="00424050">
        <w:rPr>
          <w:vertAlign w:val="superscript"/>
        </w:rPr>
        <w:t>3</w:t>
      </w:r>
      <w:r w:rsidR="00E51BB6" w:rsidRPr="00424050">
        <w:t xml:space="preserve"> 306, un testo inciso, non stoichedicamente, su tre lati di una base in pietra nera di Eleusi</w:t>
      </w:r>
      <w:r w:rsidR="00E51BB6" w:rsidRPr="00424050">
        <w:rPr>
          <w:rStyle w:val="Rimandonotaapidipagina"/>
        </w:rPr>
        <w:footnoteReference w:id="23"/>
      </w:r>
      <w:r w:rsidR="00E51BB6" w:rsidRPr="00424050">
        <w:t xml:space="preserve"> destinata a una statua</w:t>
      </w:r>
      <w:r w:rsidR="000B007D" w:rsidRPr="00424050">
        <w:t xml:space="preserve"> in </w:t>
      </w:r>
      <w:r w:rsidR="00E51BB6" w:rsidRPr="00424050">
        <w:t xml:space="preserve">bronzo, e </w:t>
      </w:r>
      <w:r w:rsidR="00E51BB6" w:rsidRPr="00424050">
        <w:lastRenderedPageBreak/>
        <w:t>rinvenuta presso la celebre chiesa di Agios Dimitrios Katiphoris, a 200 mt a nord dell’</w:t>
      </w:r>
      <w:r w:rsidR="00C209FD" w:rsidRPr="00424050">
        <w:t>A</w:t>
      </w:r>
      <w:r w:rsidR="00E51BB6" w:rsidRPr="00424050">
        <w:t xml:space="preserve">cropoli. Si tratta di un complesso documento contenente 5 </w:t>
      </w:r>
      <w:r w:rsidR="00E51BB6" w:rsidRPr="00424050">
        <w:rPr>
          <w:i/>
          <w:iCs/>
        </w:rPr>
        <w:t>psephismata</w:t>
      </w:r>
      <w:r w:rsidR="00E51BB6" w:rsidRPr="00424050">
        <w:t xml:space="preserve">, tutti relativi alle attività della Bule e dei suoi ufficiali. </w:t>
      </w:r>
      <w:r w:rsidR="000B007D" w:rsidRPr="00424050">
        <w:t>Subito colpisce la scelta di incidere decreti su una</w:t>
      </w:r>
      <w:r w:rsidR="00E51BB6" w:rsidRPr="00424050">
        <w:t xml:space="preserve"> base di una statua, che fa del documento una dedica ad Efesto e, con tutta probabilità, ad Atena </w:t>
      </w:r>
      <w:r w:rsidR="00CC7564" w:rsidRPr="00424050">
        <w:t>Hephaisteia</w:t>
      </w:r>
      <w:r w:rsidR="00E51BB6" w:rsidRPr="00424050">
        <w:t xml:space="preserve">, i cui nomi compaiono associati nel secondo decreto individuato (B, l. 20). </w:t>
      </w:r>
      <w:r w:rsidR="000B007D" w:rsidRPr="00424050">
        <w:t>Solamente altri 3 decreti, databili al periodo 345-320, ripropongono questa peculiare scelta</w:t>
      </w:r>
      <w:r w:rsidR="00644379" w:rsidRPr="00424050">
        <w:t xml:space="preserve"> per l’incisione</w:t>
      </w:r>
      <w:r w:rsidR="000B007D" w:rsidRPr="00424050">
        <w:t xml:space="preserve"> di una base</w:t>
      </w:r>
      <w:r w:rsidR="003833F3" w:rsidRPr="00424050">
        <w:rPr>
          <w:rStyle w:val="Rimandonotaapidipagina"/>
        </w:rPr>
        <w:footnoteReference w:id="24"/>
      </w:r>
      <w:r w:rsidR="000B007D" w:rsidRPr="00424050">
        <w:t xml:space="preserve"> </w:t>
      </w:r>
      <w:r w:rsidR="00644379" w:rsidRPr="00424050">
        <w:t>che,</w:t>
      </w:r>
      <w:r w:rsidR="00E51BB6" w:rsidRPr="00424050">
        <w:t xml:space="preserve"> </w:t>
      </w:r>
      <w:r w:rsidR="00644379" w:rsidRPr="00424050">
        <w:t xml:space="preserve">nel </w:t>
      </w:r>
      <w:r w:rsidR="00E51BB6" w:rsidRPr="00424050">
        <w:t>caso</w:t>
      </w:r>
      <w:r w:rsidR="00644379" w:rsidRPr="00424050">
        <w:t xml:space="preserve"> di</w:t>
      </w:r>
      <w:r w:rsidR="00E51BB6" w:rsidRPr="00424050">
        <w:t xml:space="preserve"> </w:t>
      </w:r>
      <w:r w:rsidR="00E51BB6" w:rsidRPr="00424050">
        <w:rPr>
          <w:i/>
          <w:iCs/>
        </w:rPr>
        <w:t>IG</w:t>
      </w:r>
      <w:r w:rsidR="00E51BB6" w:rsidRPr="00424050">
        <w:t xml:space="preserve"> II</w:t>
      </w:r>
      <w:r w:rsidR="00E51BB6" w:rsidRPr="00424050">
        <w:rPr>
          <w:vertAlign w:val="superscript"/>
        </w:rPr>
        <w:t>2</w:t>
      </w:r>
      <w:r w:rsidR="00E51BB6" w:rsidRPr="00424050">
        <w:t xml:space="preserve"> 410, è</w:t>
      </w:r>
      <w:r w:rsidR="00644379" w:rsidRPr="00424050">
        <w:t xml:space="preserve"> ancora</w:t>
      </w:r>
      <w:r w:rsidR="00E51BB6" w:rsidRPr="00424050">
        <w:t xml:space="preserve"> </w:t>
      </w:r>
      <w:r w:rsidR="00644379" w:rsidRPr="00424050">
        <w:t xml:space="preserve">una volta </w:t>
      </w:r>
      <w:r w:rsidR="00E51BB6" w:rsidRPr="00424050">
        <w:t>in pietra nera</w:t>
      </w:r>
      <w:r w:rsidR="001115AE" w:rsidRPr="00424050">
        <w:t>, principalmente utilizzata</w:t>
      </w:r>
      <w:r w:rsidR="00E51BB6" w:rsidRPr="00424050">
        <w:t xml:space="preserve"> nell’edilizia pubblica d</w:t>
      </w:r>
      <w:r w:rsidR="00644379" w:rsidRPr="00424050">
        <w:t>i</w:t>
      </w:r>
      <w:r w:rsidR="00E51BB6" w:rsidRPr="00424050">
        <w:t xml:space="preserve"> V secolo</w:t>
      </w:r>
      <w:r w:rsidR="00D8643A" w:rsidRPr="00424050">
        <w:t xml:space="preserve">, </w:t>
      </w:r>
      <w:r w:rsidR="00E51BB6" w:rsidRPr="00424050">
        <w:t>diven</w:t>
      </w:r>
      <w:r w:rsidR="00D8643A" w:rsidRPr="00424050">
        <w:t>endo</w:t>
      </w:r>
      <w:r w:rsidR="00E51BB6" w:rsidRPr="00424050">
        <w:t xml:space="preserve"> caratteristica dell’Atene di Pericle</w:t>
      </w:r>
      <w:r w:rsidR="003833F3" w:rsidRPr="00424050">
        <w:rPr>
          <w:rStyle w:val="Rimandonotaapidipagina"/>
        </w:rPr>
        <w:footnoteReference w:id="25"/>
      </w:r>
      <w:r w:rsidR="00E51BB6" w:rsidRPr="00424050">
        <w:t xml:space="preserve">. Utilizzata nel fregio dell’Eretteo, </w:t>
      </w:r>
      <w:r w:rsidR="00C209FD" w:rsidRPr="00424050">
        <w:t>n</w:t>
      </w:r>
      <w:r w:rsidR="00E51BB6" w:rsidRPr="00424050">
        <w:t>ei Propilei, nel Tempio di Zeus, caratterizzante la base delle statue di culto di Efesto ed Atena</w:t>
      </w:r>
      <w:r w:rsidR="00E51BB6" w:rsidRPr="00424050">
        <w:rPr>
          <w:rStyle w:val="Rimandonotaapidipagina"/>
        </w:rPr>
        <w:footnoteReference w:id="26"/>
      </w:r>
      <w:r w:rsidR="00C678D0" w:rsidRPr="00424050">
        <w:t>,</w:t>
      </w:r>
      <w:r w:rsidR="00E51BB6" w:rsidRPr="00424050">
        <w:t xml:space="preserve"> </w:t>
      </w:r>
      <w:r w:rsidR="00140E18" w:rsidRPr="00424050">
        <w:t>questa pietra</w:t>
      </w:r>
      <w:r w:rsidR="00E51BB6" w:rsidRPr="00424050">
        <w:t xml:space="preserve"> venne </w:t>
      </w:r>
      <w:r w:rsidR="00CC7564" w:rsidRPr="00424050">
        <w:t>a poco a poco dimenticata</w:t>
      </w:r>
      <w:r w:rsidR="00E51BB6" w:rsidRPr="00424050">
        <w:t xml:space="preserve"> nel corso del IV</w:t>
      </w:r>
      <w:r w:rsidR="00C209FD" w:rsidRPr="00424050">
        <w:t xml:space="preserve"> </w:t>
      </w:r>
      <w:r w:rsidR="00C209FD" w:rsidRPr="00424050">
        <w:lastRenderedPageBreak/>
        <w:t>secolo</w:t>
      </w:r>
      <w:r w:rsidR="00E51BB6" w:rsidRPr="00424050">
        <w:t xml:space="preserve">, quando venne sostituita dal marmo dell’Imetto, dalle migliori </w:t>
      </w:r>
      <w:r w:rsidR="00C209FD" w:rsidRPr="00424050">
        <w:t>prestazioni</w:t>
      </w:r>
      <w:r w:rsidR="00E51BB6" w:rsidRPr="00424050">
        <w:t xml:space="preserve"> come materiale edile e </w:t>
      </w:r>
      <w:r w:rsidR="00CC7564" w:rsidRPr="00424050">
        <w:t xml:space="preserve">con </w:t>
      </w:r>
      <w:r w:rsidR="00E51BB6" w:rsidRPr="00424050">
        <w:t xml:space="preserve">una </w:t>
      </w:r>
      <w:r w:rsidR="001115AE" w:rsidRPr="00424050">
        <w:t xml:space="preserve">maggiore </w:t>
      </w:r>
      <w:r w:rsidR="00E51BB6" w:rsidRPr="00424050">
        <w:t>disponibilità</w:t>
      </w:r>
      <w:r w:rsidR="00C209FD" w:rsidRPr="00424050">
        <w:t xml:space="preserve"> di approvvigionamento</w:t>
      </w:r>
      <w:r w:rsidR="00E51BB6" w:rsidRPr="00424050">
        <w:rPr>
          <w:rStyle w:val="Rimandonotaapidipagina"/>
        </w:rPr>
        <w:footnoteReference w:id="27"/>
      </w:r>
      <w:r w:rsidR="00C209FD" w:rsidRPr="00424050">
        <w:t xml:space="preserve">. </w:t>
      </w:r>
      <w:r w:rsidR="00EF2572" w:rsidRPr="00424050">
        <w:t>M</w:t>
      </w:r>
      <w:r w:rsidR="00140E18" w:rsidRPr="00424050">
        <w:t>a a partire da</w:t>
      </w:r>
      <w:r w:rsidR="00E51BB6" w:rsidRPr="00424050">
        <w:t xml:space="preserve">lla seconda metà del secolo </w:t>
      </w:r>
      <w:r w:rsidR="00CC7564" w:rsidRPr="00424050">
        <w:t>il materiale eleusino</w:t>
      </w:r>
      <w:r w:rsidR="00E51BB6" w:rsidRPr="00424050">
        <w:t>, le cui cave sono state individuate nelle immediate vicinanze del santuario e sulla collina che domina a settentrione il complesso</w:t>
      </w:r>
      <w:r w:rsidR="00E51BB6" w:rsidRPr="00424050">
        <w:rPr>
          <w:rStyle w:val="Rimandonotaapidipagina"/>
        </w:rPr>
        <w:footnoteReference w:id="28"/>
      </w:r>
      <w:r w:rsidR="00E51BB6" w:rsidRPr="00424050">
        <w:t>, inizia ad essere utilizzat</w:t>
      </w:r>
      <w:r w:rsidR="00CC7564" w:rsidRPr="00424050">
        <w:t>o</w:t>
      </w:r>
      <w:r w:rsidR="00E51BB6" w:rsidRPr="00424050">
        <w:t xml:space="preserve"> per la pubblicazione di alcune iscrizioni, tutte connesse all’ambiente buleutico. Sulla scelta influirono, con ogni probabilità, necessità economiche legate al fiorire</w:t>
      </w:r>
      <w:r w:rsidR="00CC7564" w:rsidRPr="00424050">
        <w:t xml:space="preserve"> </w:t>
      </w:r>
      <w:r w:rsidR="00E51BB6" w:rsidRPr="00424050">
        <w:t>o alla sopravvivenza economic</w:t>
      </w:r>
      <w:r w:rsidR="00CC7564" w:rsidRPr="00424050">
        <w:t>a</w:t>
      </w:r>
      <w:r w:rsidR="00E51BB6" w:rsidRPr="00424050">
        <w:t xml:space="preserve"> del santuario di Eracle </w:t>
      </w:r>
      <w:r w:rsidR="00E51BB6" w:rsidRPr="00424050">
        <w:rPr>
          <w:i/>
          <w:iCs/>
        </w:rPr>
        <w:t>en akridi</w:t>
      </w:r>
      <w:r w:rsidR="00E51BB6" w:rsidRPr="00424050">
        <w:t>, nel distretto eleusino</w:t>
      </w:r>
      <w:r w:rsidR="00E51BB6" w:rsidRPr="00424050">
        <w:rPr>
          <w:rStyle w:val="Rimandonotaapidipagina"/>
        </w:rPr>
        <w:footnoteReference w:id="29"/>
      </w:r>
      <w:r w:rsidR="00E51BB6" w:rsidRPr="00424050">
        <w:t xml:space="preserve">, cui Licurgo sembra </w:t>
      </w:r>
      <w:r w:rsidR="00E51BB6" w:rsidRPr="00424050">
        <w:lastRenderedPageBreak/>
        <w:t>esser stato particolarmente attento</w:t>
      </w:r>
      <w:r w:rsidR="00E51BB6" w:rsidRPr="00424050">
        <w:rPr>
          <w:rStyle w:val="Rimandonotaapidipagina"/>
        </w:rPr>
        <w:footnoteReference w:id="30"/>
      </w:r>
      <w:r w:rsidR="00E51BB6" w:rsidRPr="00424050">
        <w:t>. Per l’utilizzo della pietra per iscrizioni a carattere ufficiale abbiamo, oltre la nostra iscrizione, una dedica del 357/6 della Bulè di statua su un basamento di pietra eleusina ai Dodici Dei</w:t>
      </w:r>
      <w:r w:rsidR="006E4E66" w:rsidRPr="00424050">
        <w:rPr>
          <w:rStyle w:val="Rimandonotaapidipagina"/>
        </w:rPr>
        <w:footnoteReference w:id="31"/>
      </w:r>
      <w:r w:rsidR="00E51BB6" w:rsidRPr="00424050">
        <w:t>; nel 343, quindi nella stessa data della nostra iscrizione, si ha una dedica dei pritani della tribù di Cecrope</w:t>
      </w:r>
      <w:r w:rsidR="00286F5D" w:rsidRPr="00424050">
        <w:rPr>
          <w:rStyle w:val="Rimandonotaapidipagina"/>
        </w:rPr>
        <w:footnoteReference w:id="32"/>
      </w:r>
      <w:r w:rsidR="009910B4" w:rsidRPr="00424050">
        <w:t>;</w:t>
      </w:r>
      <w:r w:rsidR="00AA38E6" w:rsidRPr="00424050">
        <w:t xml:space="preserve"> </w:t>
      </w:r>
      <w:r w:rsidR="009910B4" w:rsidRPr="00424050">
        <w:t xml:space="preserve">tra il 340 e il 325 su pietra scura (eleusina?), venne inciso il decreto </w:t>
      </w:r>
      <w:r w:rsidR="0071689E" w:rsidRPr="00424050">
        <w:t xml:space="preserve">assembleare per un </w:t>
      </w:r>
      <w:r w:rsidR="0071689E" w:rsidRPr="00424050">
        <w:rPr>
          <w:i/>
          <w:iCs/>
        </w:rPr>
        <w:t>tamias</w:t>
      </w:r>
      <w:r w:rsidR="0071689E" w:rsidRPr="00424050">
        <w:t xml:space="preserve"> della tribù Leontide</w:t>
      </w:r>
      <w:r w:rsidR="009910B4" w:rsidRPr="00424050">
        <w:t>;</w:t>
      </w:r>
      <w:r w:rsidR="0071689E" w:rsidRPr="00424050">
        <w:t xml:space="preserve"> </w:t>
      </w:r>
      <w:r w:rsidR="00E51BB6" w:rsidRPr="00424050">
        <w:t>nel 333/2 la Bul</w:t>
      </w:r>
      <w:r w:rsidR="00ED77A1" w:rsidRPr="00424050">
        <w:t>e</w:t>
      </w:r>
      <w:r w:rsidR="00E51BB6" w:rsidRPr="00424050">
        <w:t xml:space="preserve"> dedicava una base</w:t>
      </w:r>
      <w:r w:rsidR="003C1BE7" w:rsidRPr="00424050">
        <w:t xml:space="preserve">, in pietra nera, </w:t>
      </w:r>
      <w:r w:rsidR="00E51BB6" w:rsidRPr="00424050">
        <w:t>e la statua della Democrazia</w:t>
      </w:r>
      <w:r w:rsidR="00286F5D" w:rsidRPr="00424050">
        <w:rPr>
          <w:rStyle w:val="Rimandonotaapidipagina"/>
        </w:rPr>
        <w:footnoteReference w:id="33"/>
      </w:r>
      <w:r w:rsidR="00E51BB6" w:rsidRPr="00424050">
        <w:t xml:space="preserve"> fondandone il culto, attestato a partire dal 331; l’anno successivo la Bule del 332/1 eresse un’altra statua, forse di Efesto, su un basamento della medesima pietra eleusina</w:t>
      </w:r>
      <w:r w:rsidR="000A1FDC" w:rsidRPr="00424050">
        <w:rPr>
          <w:rStyle w:val="Rimandonotaapidipagina"/>
        </w:rPr>
        <w:footnoteReference w:id="34"/>
      </w:r>
      <w:r w:rsidR="00E51BB6" w:rsidRPr="00424050">
        <w:t xml:space="preserve">. Dunque, riassumendo, l’utilizzo della pietra nera di Eleusi, dopo un periodo d’oro </w:t>
      </w:r>
      <w:r w:rsidR="00C678D0" w:rsidRPr="00424050">
        <w:t>nell’architettura di</w:t>
      </w:r>
      <w:r w:rsidR="00E51BB6" w:rsidRPr="00424050">
        <w:t xml:space="preserve"> età periclea come materiale da costruzione, sembra tornare in auge nella seconda metà del IV secolo, probabilmente in concomitanza </w:t>
      </w:r>
      <w:r w:rsidR="0010342D" w:rsidRPr="00424050">
        <w:t>con l’interesse</w:t>
      </w:r>
      <w:r w:rsidR="00E51BB6" w:rsidRPr="00424050">
        <w:t xml:space="preserve"> mostrato da Licurgo per le vicende economiche del distretto. In piena età licurghea torna inoltre l’associazione tra il gruppo bronzeo </w:t>
      </w:r>
      <w:r w:rsidR="00E51BB6" w:rsidRPr="00424050">
        <w:lastRenderedPageBreak/>
        <w:t xml:space="preserve">di Efesto-Atena e la base in pietra blu eleusina, che </w:t>
      </w:r>
      <w:r w:rsidR="006E4E66" w:rsidRPr="00424050">
        <w:t xml:space="preserve">richiama </w:t>
      </w:r>
      <w:r w:rsidR="00C678D0" w:rsidRPr="00424050">
        <w:t>le</w:t>
      </w:r>
      <w:r w:rsidR="00E51BB6" w:rsidRPr="00424050">
        <w:t xml:space="preserve"> statue di culto dell’</w:t>
      </w:r>
      <w:r w:rsidR="00E51BB6" w:rsidRPr="00424050">
        <w:rPr>
          <w:i/>
          <w:iCs/>
        </w:rPr>
        <w:t>Hephaisteion</w:t>
      </w:r>
      <w:r w:rsidR="00E51BB6" w:rsidRPr="00424050">
        <w:t>.</w:t>
      </w:r>
    </w:p>
    <w:p w14:paraId="1761AE48" w14:textId="29B46F27" w:rsidR="0067312F" w:rsidRPr="00424050" w:rsidRDefault="00385FFB" w:rsidP="00385FFB">
      <w:pPr>
        <w:autoSpaceDE w:val="0"/>
        <w:autoSpaceDN w:val="0"/>
        <w:adjustRightInd w:val="0"/>
        <w:jc w:val="both"/>
      </w:pPr>
      <w:r w:rsidRPr="00424050">
        <w:tab/>
      </w:r>
      <w:r w:rsidR="00E51BB6" w:rsidRPr="00424050">
        <w:t>Veniamo dunque alla nostra iscrizione</w:t>
      </w:r>
      <w:r w:rsidR="002F4234" w:rsidRPr="00424050">
        <w:t>, la prima a documentarci l’attività pubblica di Fanodemo</w:t>
      </w:r>
      <w:r w:rsidR="00E51BB6" w:rsidRPr="00424050">
        <w:t>. L</w:t>
      </w:r>
      <w:r w:rsidR="00DC0724" w:rsidRPr="00424050">
        <w:t>a dedica occupa le prime 3 linee:</w:t>
      </w:r>
      <w:r w:rsidR="00E51BB6" w:rsidRPr="00424050">
        <w:t xml:space="preserve"> la Bul</w:t>
      </w:r>
      <w:r w:rsidR="00DC0724" w:rsidRPr="00424050">
        <w:t>e</w:t>
      </w:r>
      <w:r w:rsidR="00E51BB6" w:rsidRPr="00424050">
        <w:t xml:space="preserve"> dell’arcontato di Pit</w:t>
      </w:r>
      <w:r w:rsidR="00DC0724" w:rsidRPr="00424050">
        <w:t>odoto</w:t>
      </w:r>
      <w:r w:rsidR="00E51BB6" w:rsidRPr="00424050">
        <w:t xml:space="preserve"> off</w:t>
      </w:r>
      <w:r w:rsidR="002F4234" w:rsidRPr="00424050">
        <w:t>riva</w:t>
      </w:r>
      <w:r w:rsidR="00E51BB6" w:rsidRPr="00424050">
        <w:t xml:space="preserve"> la statua a Efesto (manca, curiosamente, il nome di Atena, menzionata </w:t>
      </w:r>
      <w:r w:rsidR="002A44DA" w:rsidRPr="00424050">
        <w:t xml:space="preserve">invece </w:t>
      </w:r>
      <w:r w:rsidR="00E51BB6" w:rsidRPr="00424050">
        <w:t xml:space="preserve">in B l. </w:t>
      </w:r>
      <w:r w:rsidR="002F4234" w:rsidRPr="00424050">
        <w:t>20</w:t>
      </w:r>
      <w:r w:rsidR="00E51BB6" w:rsidRPr="00424050">
        <w:t>) dopo esser stato onorato dal demo con una corona ἀρετῆς ἕνεκα καὶ δικαιοσύνης</w:t>
      </w:r>
      <w:r w:rsidR="003C25D7" w:rsidRPr="00424050">
        <w:rPr>
          <w:rStyle w:val="Rimandonotaapidipagina"/>
        </w:rPr>
        <w:footnoteReference w:id="35"/>
      </w:r>
      <w:r w:rsidR="00E51BB6" w:rsidRPr="00424050">
        <w:t>. Medesima formula la si trova ripetuta due volte in relazione a Fanodemo (A l. 7 e l. 12) e una volta in riferimento a tale Eudo</w:t>
      </w:r>
      <w:r w:rsidR="00D47C34" w:rsidRPr="00424050">
        <w:t>sso</w:t>
      </w:r>
      <w:r w:rsidR="00E51BB6" w:rsidRPr="00424050">
        <w:t xml:space="preserve"> di S</w:t>
      </w:r>
      <w:r w:rsidR="00D47C34" w:rsidRPr="00424050">
        <w:t>i</w:t>
      </w:r>
      <w:r w:rsidR="00E51BB6" w:rsidRPr="00424050">
        <w:t>paletto</w:t>
      </w:r>
      <w:r w:rsidR="00485116" w:rsidRPr="00424050">
        <w:t xml:space="preserve">, un epimeleta </w:t>
      </w:r>
      <w:r w:rsidR="00485116" w:rsidRPr="00424050">
        <w:rPr>
          <w:i/>
          <w:iCs/>
        </w:rPr>
        <w:t>tes dioikeseos</w:t>
      </w:r>
      <w:r w:rsidR="00934480" w:rsidRPr="00424050">
        <w:t xml:space="preserve"> che aveva garantito l’</w:t>
      </w:r>
      <w:r w:rsidR="00934480" w:rsidRPr="00424050">
        <w:rPr>
          <w:i/>
          <w:iCs/>
        </w:rPr>
        <w:t>eukosmia</w:t>
      </w:r>
      <w:r w:rsidR="00934480" w:rsidRPr="00424050">
        <w:t xml:space="preserve"> delle diverse operazioni buleutiche </w:t>
      </w:r>
      <w:r w:rsidR="00E51BB6" w:rsidRPr="00424050">
        <w:t>(C. ll.</w:t>
      </w:r>
      <w:r w:rsidR="002F4234" w:rsidRPr="00424050">
        <w:t>45-46</w:t>
      </w:r>
      <w:r w:rsidR="00E51BB6" w:rsidRPr="00424050">
        <w:t>)</w:t>
      </w:r>
      <w:r w:rsidR="002B2696" w:rsidRPr="00424050">
        <w:rPr>
          <w:rStyle w:val="Rimandonotaapidipagina"/>
        </w:rPr>
        <w:footnoteReference w:id="36"/>
      </w:r>
      <w:r w:rsidR="00E51BB6" w:rsidRPr="00424050">
        <w:t xml:space="preserve">. </w:t>
      </w:r>
      <w:r w:rsidR="0067312F" w:rsidRPr="00424050">
        <w:rPr>
          <w:i/>
          <w:iCs/>
        </w:rPr>
        <w:t>Dykaiosyne</w:t>
      </w:r>
      <w:r w:rsidR="0067312F" w:rsidRPr="00424050">
        <w:t xml:space="preserve"> compare nella formula alla quale concorrono anche termini quali </w:t>
      </w:r>
      <w:r w:rsidR="0067312F" w:rsidRPr="00424050">
        <w:rPr>
          <w:i/>
          <w:iCs/>
        </w:rPr>
        <w:t>eunoia</w:t>
      </w:r>
      <w:r w:rsidR="0067312F" w:rsidRPr="00424050">
        <w:t xml:space="preserve">, </w:t>
      </w:r>
      <w:r w:rsidR="0067312F" w:rsidRPr="00424050">
        <w:rPr>
          <w:i/>
          <w:iCs/>
        </w:rPr>
        <w:t>philotimia</w:t>
      </w:r>
      <w:r w:rsidR="00424050" w:rsidRPr="00424050">
        <w:rPr>
          <w:rStyle w:val="Rimandonotaapidipagina"/>
        </w:rPr>
        <w:footnoteReference w:id="37"/>
      </w:r>
      <w:r w:rsidR="0067312F" w:rsidRPr="00424050">
        <w:t xml:space="preserve">, raramente, nel IV </w:t>
      </w:r>
      <w:r w:rsidR="0067312F" w:rsidRPr="00424050">
        <w:lastRenderedPageBreak/>
        <w:t xml:space="preserve">secolo, </w:t>
      </w:r>
      <w:r w:rsidR="0067312F" w:rsidRPr="00424050">
        <w:rPr>
          <w:i/>
          <w:iCs/>
        </w:rPr>
        <w:t>andragathia</w:t>
      </w:r>
      <w:r w:rsidR="0067312F" w:rsidRPr="00424050">
        <w:rPr>
          <w:rStyle w:val="Rimandonotaapidipagina"/>
        </w:rPr>
        <w:footnoteReference w:id="38"/>
      </w:r>
      <w:r w:rsidR="0067312F" w:rsidRPr="00424050">
        <w:t>, ma è certamente il termine che insiste in modo particolare nei testi della seconda metà del IV secolo</w:t>
      </w:r>
      <w:r w:rsidR="008F5528" w:rsidRPr="00424050">
        <w:t>,</w:t>
      </w:r>
      <w:r w:rsidR="0067312F" w:rsidRPr="00424050">
        <w:t xml:space="preserve"> indica</w:t>
      </w:r>
      <w:r w:rsidR="008F5528" w:rsidRPr="00424050">
        <w:t>ndo</w:t>
      </w:r>
      <w:r w:rsidR="0067312F" w:rsidRPr="00424050">
        <w:t xml:space="preserve"> la qualità politica che, secondo il mito protagoreo</w:t>
      </w:r>
      <w:r w:rsidR="0067312F" w:rsidRPr="00424050">
        <w:rPr>
          <w:rStyle w:val="Rimandonotaapidipagina"/>
        </w:rPr>
        <w:footnoteReference w:id="39"/>
      </w:r>
      <w:r w:rsidR="0067312F" w:rsidRPr="00424050">
        <w:t>, tutti possiedono, ma solo alcuni trasformano in vera e</w:t>
      </w:r>
      <w:r w:rsidR="000D0AEF" w:rsidRPr="00424050">
        <w:t>d</w:t>
      </w:r>
      <w:r w:rsidR="0067312F" w:rsidRPr="00424050">
        <w:t xml:space="preserve"> eccellente virtù</w:t>
      </w:r>
      <w:r w:rsidR="00243DAE" w:rsidRPr="00424050">
        <w:t>, propria</w:t>
      </w:r>
      <w:r w:rsidR="0067312F" w:rsidRPr="00424050">
        <w:t xml:space="preserve"> di chi deve governare. Ed è una virtù somma, poiché, come affermava Teognide, ἐν δὲ δικαιοσύνῃ συλλήβδην πᾶσ</w:t>
      </w:r>
      <w:r w:rsidR="00424050">
        <w:t xml:space="preserve">’ </w:t>
      </w:r>
      <w:r w:rsidR="0067312F" w:rsidRPr="00424050">
        <w:t>ἀρετὴ ἔνι / πᾶς δέ τ</w:t>
      </w:r>
      <w:r w:rsidR="00424050">
        <w:t>’</w:t>
      </w:r>
      <w:r w:rsidR="0067312F" w:rsidRPr="00424050">
        <w:t xml:space="preserve"> ἀνὴρ ἀγαθός, Κύρνε, δίκαιος ἐών</w:t>
      </w:r>
      <w:r w:rsidR="0067312F" w:rsidRPr="00424050">
        <w:rPr>
          <w:rStyle w:val="Rimandonotaapidipagina"/>
        </w:rPr>
        <w:footnoteReference w:id="40"/>
      </w:r>
      <w:r w:rsidR="0067312F" w:rsidRPr="00424050">
        <w:t>.</w:t>
      </w:r>
    </w:p>
    <w:p w14:paraId="5EBC802A" w14:textId="489EF0A4" w:rsidR="0067312F" w:rsidRPr="00424050" w:rsidRDefault="00385FFB" w:rsidP="00385FFB">
      <w:pPr>
        <w:autoSpaceDE w:val="0"/>
        <w:autoSpaceDN w:val="0"/>
        <w:adjustRightInd w:val="0"/>
        <w:jc w:val="both"/>
      </w:pPr>
      <w:r w:rsidRPr="00424050">
        <w:tab/>
      </w:r>
      <w:r w:rsidR="00E51BB6" w:rsidRPr="00424050">
        <w:t xml:space="preserve">I due buleuti, </w:t>
      </w:r>
      <w:r w:rsidR="00243DAE" w:rsidRPr="00424050">
        <w:t xml:space="preserve">Fanodemo ed Eudosso, </w:t>
      </w:r>
      <w:r w:rsidR="00E51BB6" w:rsidRPr="00424050">
        <w:t xml:space="preserve">in questo modo vengono esaltati come veri cittadini di Atene, patria di cui rispecchiano gloriosamente </w:t>
      </w:r>
      <w:r w:rsidR="00A158E4" w:rsidRPr="00424050">
        <w:t>l’</w:t>
      </w:r>
      <w:r w:rsidR="00A158E4" w:rsidRPr="00424050">
        <w:rPr>
          <w:i/>
          <w:iCs/>
        </w:rPr>
        <w:t>ethos</w:t>
      </w:r>
      <w:r w:rsidR="00A158E4" w:rsidRPr="00424050">
        <w:t>. Potremmo</w:t>
      </w:r>
      <w:r w:rsidR="00CB5861" w:rsidRPr="00424050">
        <w:t xml:space="preserve"> anche dire – nel caso di Fanodemo – che il suo comportamento di uomo </w:t>
      </w:r>
      <w:r w:rsidR="00CB5861" w:rsidRPr="00424050">
        <w:rPr>
          <w:i/>
          <w:iCs/>
        </w:rPr>
        <w:t>kalos</w:t>
      </w:r>
      <w:r w:rsidR="00CB5861" w:rsidRPr="00424050">
        <w:t xml:space="preserve"> e </w:t>
      </w:r>
      <w:r w:rsidR="00CB5861" w:rsidRPr="00424050">
        <w:rPr>
          <w:i/>
          <w:iCs/>
        </w:rPr>
        <w:t>philotimos</w:t>
      </w:r>
      <w:r w:rsidR="00CB5861" w:rsidRPr="00424050">
        <w:t xml:space="preserve"> (ll. 12-13) rimanda </w:t>
      </w:r>
      <w:r w:rsidR="007A5070" w:rsidRPr="00424050">
        <w:t>intenzionalmente</w:t>
      </w:r>
      <w:r w:rsidR="00CB5861" w:rsidRPr="00424050">
        <w:t xml:space="preserve"> </w:t>
      </w:r>
      <w:r w:rsidR="00A158E4" w:rsidRPr="00424050">
        <w:t>a</w:t>
      </w:r>
      <w:r w:rsidR="002167F2" w:rsidRPr="00424050">
        <w:t xml:space="preserve"> un</w:t>
      </w:r>
      <w:r w:rsidR="00CB5861" w:rsidRPr="00424050">
        <w:t xml:space="preserve"> concetto di nobiltà,</w:t>
      </w:r>
      <w:r w:rsidR="00A158E4" w:rsidRPr="00424050">
        <w:t xml:space="preserve"> di estrazione </w:t>
      </w:r>
      <w:r w:rsidR="008B0EFE" w:rsidRPr="00424050">
        <w:t>egregia</w:t>
      </w:r>
      <w:r w:rsidR="00A158E4" w:rsidRPr="00424050">
        <w:t xml:space="preserve">, </w:t>
      </w:r>
      <w:r w:rsidR="00CB5861" w:rsidRPr="00424050">
        <w:t>le cui radici non han</w:t>
      </w:r>
      <w:r w:rsidR="008A62D4" w:rsidRPr="00424050">
        <w:t xml:space="preserve">no </w:t>
      </w:r>
      <w:r w:rsidR="00243DAE" w:rsidRPr="00424050">
        <w:t xml:space="preserve">però </w:t>
      </w:r>
      <w:r w:rsidR="00A158E4" w:rsidRPr="00424050">
        <w:t xml:space="preserve">più </w:t>
      </w:r>
      <w:r w:rsidR="008A62D4" w:rsidRPr="00424050">
        <w:t xml:space="preserve">nulla a che vedere con la nascita aristocratica. </w:t>
      </w:r>
      <w:r w:rsidR="0067312F" w:rsidRPr="00424050">
        <w:t>E come il mondo riconosce la grandezza di Atene</w:t>
      </w:r>
      <w:r w:rsidR="0067312F" w:rsidRPr="00424050">
        <w:rPr>
          <w:rStyle w:val="Rimandonotaapidipagina"/>
        </w:rPr>
        <w:footnoteReference w:id="41"/>
      </w:r>
      <w:r w:rsidR="0067312F" w:rsidRPr="00424050">
        <w:t xml:space="preserve">, così Atene risuona nelle parole </w:t>
      </w:r>
      <w:r w:rsidR="0067312F" w:rsidRPr="00424050">
        <w:lastRenderedPageBreak/>
        <w:t>e negli atti di questi cittadini</w:t>
      </w:r>
      <w:r w:rsidR="0067312F" w:rsidRPr="00424050">
        <w:rPr>
          <w:rStyle w:val="Rimandonotaapidipagina"/>
        </w:rPr>
        <w:footnoteReference w:id="42"/>
      </w:r>
      <w:r w:rsidR="0067312F" w:rsidRPr="00424050">
        <w:t>, onorati ὅπως ἂν [οὖν καὶ οἱ ἄλλοι ἅπαν]τες εἰδῶσι ὅ[τι] ὁ δῆμος καὶ ἡ βουλὴ (A ll. 8-9)</w:t>
      </w:r>
      <w:r w:rsidR="00A8260F" w:rsidRPr="00424050">
        <w:rPr>
          <w:rStyle w:val="Rimandonotaapidipagina"/>
        </w:rPr>
        <w:footnoteReference w:id="43"/>
      </w:r>
      <w:r w:rsidR="0067312F" w:rsidRPr="00424050">
        <w:t>, affinché una delle caratteristiche dell’</w:t>
      </w:r>
      <w:r w:rsidR="0067312F" w:rsidRPr="00424050">
        <w:rPr>
          <w:i/>
          <w:iCs/>
        </w:rPr>
        <w:t>ethos</w:t>
      </w:r>
      <w:r w:rsidR="0067312F" w:rsidRPr="00424050">
        <w:t xml:space="preserve"> della città, l’affidabilità nella tutela</w:t>
      </w:r>
      <w:r w:rsidR="008274B2" w:rsidRPr="00424050">
        <w:t xml:space="preserve"> </w:t>
      </w:r>
      <w:r w:rsidR="0067312F" w:rsidRPr="00424050">
        <w:t>della</w:t>
      </w:r>
      <w:r w:rsidR="008274B2" w:rsidRPr="00424050">
        <w:t xml:space="preserve"> </w:t>
      </w:r>
      <w:r w:rsidR="0067312F" w:rsidRPr="00424050">
        <w:rPr>
          <w:i/>
          <w:iCs/>
        </w:rPr>
        <w:t>charis</w:t>
      </w:r>
      <w:r w:rsidR="008274B2" w:rsidRPr="00424050">
        <w:rPr>
          <w:i/>
          <w:iCs/>
        </w:rPr>
        <w:t xml:space="preserve"> </w:t>
      </w:r>
      <w:r w:rsidR="0067312F" w:rsidRPr="00424050">
        <w:t>tra</w:t>
      </w:r>
      <w:r w:rsidR="008274B2" w:rsidRPr="00424050">
        <w:t xml:space="preserve"> </w:t>
      </w:r>
      <w:r w:rsidR="0067312F" w:rsidRPr="00424050">
        <w:t>benefattore</w:t>
      </w:r>
      <w:r w:rsidR="008274B2" w:rsidRPr="00424050">
        <w:t xml:space="preserve"> </w:t>
      </w:r>
      <w:r w:rsidR="00243DAE" w:rsidRPr="00424050">
        <w:t>e</w:t>
      </w:r>
      <w:r w:rsidR="008274B2" w:rsidRPr="00424050">
        <w:t xml:space="preserve"> </w:t>
      </w:r>
      <w:r w:rsidR="00CB5861" w:rsidRPr="00424050">
        <w:t>po</w:t>
      </w:r>
      <w:r w:rsidR="0067312F" w:rsidRPr="00424050">
        <w:t xml:space="preserve">lis, possa essere sotto gli occhi di tutti e la </w:t>
      </w:r>
      <w:r w:rsidR="0067312F" w:rsidRPr="00424050">
        <w:rPr>
          <w:i/>
          <w:iCs/>
        </w:rPr>
        <w:t>doxa</w:t>
      </w:r>
      <w:r w:rsidR="0067312F" w:rsidRPr="00424050">
        <w:t xml:space="preserve"> della città goderne.</w:t>
      </w:r>
    </w:p>
    <w:p w14:paraId="6317EA11" w14:textId="3EF39BEB" w:rsidR="0088332A" w:rsidRPr="00424050" w:rsidRDefault="00385FFB" w:rsidP="00385FFB">
      <w:pPr>
        <w:autoSpaceDE w:val="0"/>
        <w:autoSpaceDN w:val="0"/>
        <w:adjustRightInd w:val="0"/>
        <w:jc w:val="both"/>
      </w:pPr>
      <w:r w:rsidRPr="00424050">
        <w:tab/>
      </w:r>
      <w:r w:rsidR="008D4937" w:rsidRPr="00424050">
        <w:t xml:space="preserve">Ritornando a Fanodemo, </w:t>
      </w:r>
      <w:r w:rsidR="00E34644" w:rsidRPr="00424050">
        <w:t xml:space="preserve">il decreto con </w:t>
      </w:r>
      <w:r w:rsidR="00993023" w:rsidRPr="00424050">
        <w:t>il quale</w:t>
      </w:r>
      <w:r w:rsidR="00E34644" w:rsidRPr="00424050">
        <w:t xml:space="preserve"> Bule e demo gli conferi</w:t>
      </w:r>
      <w:r w:rsidR="005E7364" w:rsidRPr="00424050">
        <w:t>scono</w:t>
      </w:r>
      <w:r w:rsidR="00121887" w:rsidRPr="00424050">
        <w:t>, per quanto ne sappiamo per la prima volta per un ateniese,</w:t>
      </w:r>
      <w:r w:rsidR="00E34644" w:rsidRPr="00424050">
        <w:t xml:space="preserve"> una corona da 1000 dracme</w:t>
      </w:r>
      <w:r w:rsidR="00121887" w:rsidRPr="00424050">
        <w:rPr>
          <w:rStyle w:val="Rimandonotaapidipagina"/>
        </w:rPr>
        <w:footnoteReference w:id="44"/>
      </w:r>
      <w:r w:rsidR="00E34644" w:rsidRPr="00424050">
        <w:t xml:space="preserve"> </w:t>
      </w:r>
      <w:r w:rsidR="00D03DE4" w:rsidRPr="00424050">
        <w:t>è inciso</w:t>
      </w:r>
      <w:r w:rsidR="004604E3" w:rsidRPr="00424050">
        <w:t xml:space="preserve"> subito sotto </w:t>
      </w:r>
      <w:r w:rsidR="00683398" w:rsidRPr="00424050">
        <w:t>la dedica</w:t>
      </w:r>
      <w:r w:rsidR="008F56CE" w:rsidRPr="00424050">
        <w:t xml:space="preserve"> (</w:t>
      </w:r>
      <w:r w:rsidR="005E7364" w:rsidRPr="00424050">
        <w:t xml:space="preserve">A </w:t>
      </w:r>
      <w:r w:rsidR="008F56CE" w:rsidRPr="00424050">
        <w:t>ll. 4-16)</w:t>
      </w:r>
      <w:r w:rsidR="00B91BC2" w:rsidRPr="00424050">
        <w:t xml:space="preserve">: l’onore fu </w:t>
      </w:r>
      <w:r w:rsidR="00993023" w:rsidRPr="00424050">
        <w:t>assegnato</w:t>
      </w:r>
      <w:r w:rsidR="00B91BC2" w:rsidRPr="00424050">
        <w:t xml:space="preserve"> </w:t>
      </w:r>
      <w:r w:rsidR="006C4B7E" w:rsidRPr="00424050">
        <w:t>per essere risultato il migliore</w:t>
      </w:r>
      <w:r w:rsidR="007D2BCA" w:rsidRPr="00424050">
        <w:t xml:space="preserve">, in un agone buleutico, </w:t>
      </w:r>
      <w:r w:rsidR="004E3F0F" w:rsidRPr="00424050">
        <w:t>nel parlare e nell’agire</w:t>
      </w:r>
      <w:r w:rsidR="008A62D4" w:rsidRPr="00424050">
        <w:t xml:space="preserve"> (</w:t>
      </w:r>
      <w:r w:rsidR="00FA3611" w:rsidRPr="00424050">
        <w:t>ἄριστα λέγων καὶ πράττων</w:t>
      </w:r>
      <w:r w:rsidR="008A62D4" w:rsidRPr="00424050">
        <w:t>)</w:t>
      </w:r>
      <w:r w:rsidR="003C553E" w:rsidRPr="00424050">
        <w:t>,</w:t>
      </w:r>
      <w:r w:rsidR="004E3F0F" w:rsidRPr="00424050">
        <w:t xml:space="preserve"> rimanendo incorrotto</w:t>
      </w:r>
      <w:r w:rsidR="008A62D4" w:rsidRPr="00424050">
        <w:t xml:space="preserve"> per tutto l’anno di carica</w:t>
      </w:r>
      <w:r w:rsidR="004E3F0F" w:rsidRPr="00424050">
        <w:t xml:space="preserve"> </w:t>
      </w:r>
      <w:r w:rsidR="008A62D4" w:rsidRPr="00424050">
        <w:t>(</w:t>
      </w:r>
      <w:r w:rsidR="00B91BC2" w:rsidRPr="00424050">
        <w:t>ἀδωροδοκήτως</w:t>
      </w:r>
      <w:r w:rsidR="008A62D4" w:rsidRPr="00424050">
        <w:t>)</w:t>
      </w:r>
      <w:r w:rsidR="00362D46" w:rsidRPr="00424050">
        <w:rPr>
          <w:rStyle w:val="Rimandonotaapidipagina"/>
        </w:rPr>
        <w:t xml:space="preserve"> </w:t>
      </w:r>
      <w:r w:rsidR="00362D46" w:rsidRPr="00424050">
        <w:rPr>
          <w:rStyle w:val="Rimandonotaapidipagina"/>
        </w:rPr>
        <w:footnoteReference w:id="45"/>
      </w:r>
      <w:r w:rsidR="007D2BCA" w:rsidRPr="00424050">
        <w:t xml:space="preserve">. </w:t>
      </w:r>
      <w:r w:rsidR="007F7B14" w:rsidRPr="00424050">
        <w:t xml:space="preserve">La </w:t>
      </w:r>
      <w:r w:rsidR="007D2BCA" w:rsidRPr="00424050">
        <w:t>frase sembra avere le caratteristiche di una proposta di formulario che tuttavia</w:t>
      </w:r>
      <w:r w:rsidR="00F36DF0" w:rsidRPr="00424050">
        <w:t>, stante la documentazione in nostro possesso,</w:t>
      </w:r>
      <w:r w:rsidR="007D2BCA" w:rsidRPr="00424050">
        <w:t xml:space="preserve"> non </w:t>
      </w:r>
      <w:r w:rsidR="00F36DF0" w:rsidRPr="00424050">
        <w:t xml:space="preserve">sembra </w:t>
      </w:r>
      <w:r w:rsidR="007D2BCA" w:rsidRPr="00424050">
        <w:t>aver avuto successo: per il</w:t>
      </w:r>
      <w:r w:rsidR="00761F7F" w:rsidRPr="00424050">
        <w:t xml:space="preserve"> </w:t>
      </w:r>
      <w:r w:rsidR="007D2BCA" w:rsidRPr="00424050">
        <w:t xml:space="preserve">IV secolo, </w:t>
      </w:r>
      <w:r w:rsidR="00761F7F" w:rsidRPr="00424050">
        <w:t>infatti</w:t>
      </w:r>
      <w:r w:rsidR="007D2BCA" w:rsidRPr="00424050">
        <w:t>,</w:t>
      </w:r>
      <w:r w:rsidR="007F7B14" w:rsidRPr="00424050">
        <w:t xml:space="preserve"> possediamo un unico confronto, </w:t>
      </w:r>
      <w:r w:rsidR="0007635D" w:rsidRPr="00424050">
        <w:t>attribuibile agli anni</w:t>
      </w:r>
      <w:r w:rsidR="007F7B14" w:rsidRPr="00424050">
        <w:t xml:space="preserve"> 340-325</w:t>
      </w:r>
      <w:r w:rsidR="00F36DF0" w:rsidRPr="00424050">
        <w:rPr>
          <w:rStyle w:val="Rimandonotaapidipagina"/>
        </w:rPr>
        <w:footnoteReference w:id="46"/>
      </w:r>
      <w:r w:rsidR="005072BF" w:rsidRPr="00424050">
        <w:t>.</w:t>
      </w:r>
      <w:r w:rsidR="00892245" w:rsidRPr="00424050">
        <w:t xml:space="preserve"> </w:t>
      </w:r>
      <w:r w:rsidR="00993023" w:rsidRPr="00424050">
        <w:t>È interessante notare anche che l</w:t>
      </w:r>
      <w:r w:rsidR="0030405C" w:rsidRPr="00424050">
        <w:t xml:space="preserve">’avverbio </w:t>
      </w:r>
      <w:r w:rsidR="00761F7F" w:rsidRPr="00424050">
        <w:t xml:space="preserve">ἀδωροδοκήτως </w:t>
      </w:r>
      <w:r w:rsidR="0015650B" w:rsidRPr="00424050">
        <w:t>(</w:t>
      </w:r>
      <w:r w:rsidR="0030405C" w:rsidRPr="00424050">
        <w:t xml:space="preserve">e </w:t>
      </w:r>
      <w:r w:rsidR="0030405C" w:rsidRPr="00424050">
        <w:lastRenderedPageBreak/>
        <w:t>l’aggettivo da cui deriva</w:t>
      </w:r>
      <w:r w:rsidR="0015650B" w:rsidRPr="00424050">
        <w:t>)</w:t>
      </w:r>
      <w:r w:rsidR="0030405C" w:rsidRPr="00424050">
        <w:t xml:space="preserve"> </w:t>
      </w:r>
      <w:r w:rsidR="00993023" w:rsidRPr="00424050">
        <w:t xml:space="preserve">ha un utilizzo </w:t>
      </w:r>
      <w:r w:rsidR="002C31AD" w:rsidRPr="00424050">
        <w:t xml:space="preserve">sorprendentemente </w:t>
      </w:r>
      <w:r w:rsidR="00993023" w:rsidRPr="00424050">
        <w:t>esiguo</w:t>
      </w:r>
      <w:r w:rsidR="002C31AD" w:rsidRPr="00424050">
        <w:t xml:space="preserve"> sia in ambiente epigrafico sia in letteratura: </w:t>
      </w:r>
      <w:r w:rsidR="0015650B" w:rsidRPr="00424050">
        <w:t>a livello epigrafico, infatti</w:t>
      </w:r>
      <w:r w:rsidR="001D0D74" w:rsidRPr="00424050">
        <w:t>, dopo aver fatto la sua comparsa nell’iscrizione di Fanodemo</w:t>
      </w:r>
      <w:r w:rsidR="007A5070" w:rsidRPr="00424050">
        <w:t>,</w:t>
      </w:r>
      <w:r w:rsidR="001D0D74" w:rsidRPr="00424050">
        <w:t xml:space="preserve"> </w:t>
      </w:r>
      <w:r w:rsidR="00FC41F4" w:rsidRPr="00424050">
        <w:t xml:space="preserve">l’avverbio </w:t>
      </w:r>
      <w:r w:rsidR="001D0D74" w:rsidRPr="00424050">
        <w:t xml:space="preserve">ritorna </w:t>
      </w:r>
      <w:r w:rsidR="002C31AD" w:rsidRPr="00424050">
        <w:t>in sole altre due iscrizioni</w:t>
      </w:r>
      <w:r w:rsidR="0088751D" w:rsidRPr="00424050">
        <w:t xml:space="preserve"> </w:t>
      </w:r>
      <w:r w:rsidR="007A5070" w:rsidRPr="00424050">
        <w:t>di</w:t>
      </w:r>
      <w:r w:rsidR="0088751D" w:rsidRPr="00424050">
        <w:t xml:space="preserve"> IV secolo</w:t>
      </w:r>
      <w:r w:rsidR="0088751D" w:rsidRPr="00424050">
        <w:rPr>
          <w:rStyle w:val="Rimandonotaapidipagina"/>
        </w:rPr>
        <w:footnoteReference w:id="47"/>
      </w:r>
      <w:r w:rsidR="00FC41F4" w:rsidRPr="00424050">
        <w:t xml:space="preserve">. A </w:t>
      </w:r>
      <w:r w:rsidR="004608CF" w:rsidRPr="00424050">
        <w:t>supportare</w:t>
      </w:r>
      <w:r w:rsidR="00916210" w:rsidRPr="00424050">
        <w:t xml:space="preserve"> </w:t>
      </w:r>
      <w:r w:rsidR="00C471CB" w:rsidRPr="00424050">
        <w:t>l’idea che si tratti di un momento</w:t>
      </w:r>
      <w:r w:rsidR="00FC41F4" w:rsidRPr="00424050">
        <w:t xml:space="preserve"> </w:t>
      </w:r>
      <w:r w:rsidR="00C471CB" w:rsidRPr="00424050">
        <w:t>iniziale della storia del termine</w:t>
      </w:r>
      <w:r w:rsidR="00FC41F4" w:rsidRPr="00424050">
        <w:t xml:space="preserve"> vi sono le fonti letterarie: </w:t>
      </w:r>
      <w:r w:rsidR="00075A58" w:rsidRPr="00424050">
        <w:t xml:space="preserve">sempre la forma avverbiale compare esclusivamente in </w:t>
      </w:r>
      <w:r w:rsidR="00BA7ACA" w:rsidRPr="00424050">
        <w:t>Demoste</w:t>
      </w:r>
      <w:r w:rsidR="00B11EA2" w:rsidRPr="00424050">
        <w:t>ne</w:t>
      </w:r>
      <w:r w:rsidR="00075A58" w:rsidRPr="00424050">
        <w:rPr>
          <w:rStyle w:val="Rimandonotaapidipagina"/>
        </w:rPr>
        <w:footnoteReference w:id="48"/>
      </w:r>
      <w:r w:rsidR="002919E7" w:rsidRPr="00424050">
        <w:t>; la forma aggettivale conosce una diffusione poco più ampia, ma a partire, ancora una volta da Demostene</w:t>
      </w:r>
      <w:r w:rsidR="00BA7ACA" w:rsidRPr="00424050">
        <w:rPr>
          <w:rStyle w:val="Rimandonotaapidipagina"/>
        </w:rPr>
        <w:footnoteReference w:id="49"/>
      </w:r>
      <w:r w:rsidR="00BA7ACA" w:rsidRPr="00424050">
        <w:t xml:space="preserve">. Si tratta di un termine </w:t>
      </w:r>
      <w:r w:rsidR="001D0CE0" w:rsidRPr="00424050">
        <w:t>accuratamente</w:t>
      </w:r>
      <w:r w:rsidR="00BA7ACA" w:rsidRPr="00424050">
        <w:t xml:space="preserve"> studiato e utilizzato in una campagna</w:t>
      </w:r>
      <w:r w:rsidR="002919E7" w:rsidRPr="00424050">
        <w:t xml:space="preserve"> politica precisa, che andava a colpire</w:t>
      </w:r>
      <w:r w:rsidR="00BA7ACA" w:rsidRPr="00424050">
        <w:t xml:space="preserve"> </w:t>
      </w:r>
      <w:r w:rsidR="00E912DC" w:rsidRPr="00424050">
        <w:t>la</w:t>
      </w:r>
      <w:r w:rsidR="00BA7ACA" w:rsidRPr="00424050">
        <w:t xml:space="preserve"> pratica </w:t>
      </w:r>
      <w:r w:rsidR="00E912DC" w:rsidRPr="00424050">
        <w:t xml:space="preserve">tutt’altro che disprezzata dai più, </w:t>
      </w:r>
      <w:r w:rsidR="002919E7" w:rsidRPr="00424050">
        <w:t>del</w:t>
      </w:r>
      <w:r w:rsidR="00BA7ACA" w:rsidRPr="00424050">
        <w:t xml:space="preserve">la </w:t>
      </w:r>
      <w:r w:rsidR="00823E67" w:rsidRPr="00424050">
        <w:rPr>
          <w:i/>
          <w:iCs/>
        </w:rPr>
        <w:t>dorodokia</w:t>
      </w:r>
      <w:r w:rsidR="00823E67" w:rsidRPr="00424050">
        <w:t xml:space="preserve">, il cui confine con la spudorata corruzione era </w:t>
      </w:r>
      <w:r w:rsidR="00283976" w:rsidRPr="00424050">
        <w:t>piuttosto</w:t>
      </w:r>
      <w:r w:rsidR="00823E67" w:rsidRPr="00424050">
        <w:t xml:space="preserve"> permeabile</w:t>
      </w:r>
      <w:r w:rsidR="00823E67" w:rsidRPr="00424050">
        <w:rPr>
          <w:rStyle w:val="Rimandonotaapidipagina"/>
        </w:rPr>
        <w:footnoteReference w:id="50"/>
      </w:r>
      <w:r w:rsidR="0007635D" w:rsidRPr="00424050">
        <w:t>.</w:t>
      </w:r>
    </w:p>
    <w:p w14:paraId="79DB28A4" w14:textId="0D7B7D1F" w:rsidR="00997DAC" w:rsidRPr="00424050" w:rsidRDefault="00385FFB" w:rsidP="00385FFB">
      <w:pPr>
        <w:jc w:val="both"/>
      </w:pPr>
      <w:r w:rsidRPr="00424050">
        <w:tab/>
      </w:r>
      <w:r w:rsidR="004905DD" w:rsidRPr="00424050">
        <w:t>Alla dedica della statua di E</w:t>
      </w:r>
      <w:r w:rsidR="001C74BA" w:rsidRPr="00424050">
        <w:t>f</w:t>
      </w:r>
      <w:r w:rsidR="004905DD" w:rsidRPr="00424050">
        <w:t xml:space="preserve">esto e di Atena Efestia è legato </w:t>
      </w:r>
      <w:r w:rsidR="004B4D6F" w:rsidRPr="00424050">
        <w:t>un</w:t>
      </w:r>
      <w:r w:rsidR="004905DD" w:rsidRPr="00424050">
        <w:t xml:space="preserve"> secondo decreto</w:t>
      </w:r>
      <w:r w:rsidR="0036498E" w:rsidRPr="00424050">
        <w:t>, lacunoso,</w:t>
      </w:r>
      <w:r w:rsidR="004905DD" w:rsidRPr="00424050">
        <w:t xml:space="preserve"> relativo a Fanodemo (</w:t>
      </w:r>
      <w:r w:rsidR="00981F78" w:rsidRPr="00424050">
        <w:t xml:space="preserve">B </w:t>
      </w:r>
      <w:r w:rsidR="004905DD" w:rsidRPr="00424050">
        <w:t xml:space="preserve">ll. </w:t>
      </w:r>
      <w:r w:rsidR="001C74BA" w:rsidRPr="00424050">
        <w:t>17-23</w:t>
      </w:r>
      <w:r w:rsidR="004905DD" w:rsidRPr="00424050">
        <w:t>)</w:t>
      </w:r>
      <w:r w:rsidR="0036498E" w:rsidRPr="00424050">
        <w:t xml:space="preserve">: </w:t>
      </w:r>
      <w:r w:rsidR="00EF3F3A" w:rsidRPr="00424050">
        <w:t xml:space="preserve">qui </w:t>
      </w:r>
      <w:r w:rsidR="008A5B30" w:rsidRPr="00424050">
        <w:t>il nostro personaggio</w:t>
      </w:r>
      <w:r w:rsidR="00EF3F3A" w:rsidRPr="00424050">
        <w:t xml:space="preserve"> risulta il proponente di un </w:t>
      </w:r>
      <w:r w:rsidR="0036498E" w:rsidRPr="00424050">
        <w:t>provvedimento</w:t>
      </w:r>
      <w:r w:rsidR="005A3792" w:rsidRPr="00424050">
        <w:t xml:space="preserve"> purtroppo non precisabile</w:t>
      </w:r>
      <w:r w:rsidR="006C747D" w:rsidRPr="00424050">
        <w:t xml:space="preserve">, </w:t>
      </w:r>
      <w:r w:rsidR="004B4D6F" w:rsidRPr="00424050">
        <w:t>che interessava</w:t>
      </w:r>
      <w:r w:rsidR="002805CD" w:rsidRPr="00424050">
        <w:t xml:space="preserve"> i buleuti</w:t>
      </w:r>
      <w:r w:rsidR="0087555D" w:rsidRPr="00424050">
        <w:t xml:space="preserve">, </w:t>
      </w:r>
      <w:r w:rsidR="00EA7A6E" w:rsidRPr="00424050">
        <w:t>forse</w:t>
      </w:r>
      <w:r w:rsidR="002805CD" w:rsidRPr="00424050">
        <w:t xml:space="preserve"> sottoscritto</w:t>
      </w:r>
      <w:r w:rsidR="0087555D" w:rsidRPr="00424050">
        <w:t>ri</w:t>
      </w:r>
      <w:r w:rsidR="002805CD" w:rsidRPr="00424050">
        <w:t xml:space="preserve"> </w:t>
      </w:r>
      <w:r w:rsidR="0087555D" w:rsidRPr="00424050">
        <w:t>del</w:t>
      </w:r>
      <w:r w:rsidR="002805CD" w:rsidRPr="00424050">
        <w:t>la dedica</w:t>
      </w:r>
      <w:r w:rsidR="000C017E" w:rsidRPr="00424050">
        <w:t xml:space="preserve"> del</w:t>
      </w:r>
      <w:r w:rsidR="00EA7A6E" w:rsidRPr="00424050">
        <w:t xml:space="preserve"> gruppo</w:t>
      </w:r>
      <w:r w:rsidR="00981F78" w:rsidRPr="00424050">
        <w:t xml:space="preserve"> bronzeo</w:t>
      </w:r>
      <w:r w:rsidR="00EA7A6E" w:rsidRPr="00424050">
        <w:t>.</w:t>
      </w:r>
      <w:r w:rsidR="002805CD" w:rsidRPr="00424050">
        <w:t xml:space="preserve"> </w:t>
      </w:r>
      <w:r w:rsidR="00EF3F3A" w:rsidRPr="00424050">
        <w:t xml:space="preserve">Certamente </w:t>
      </w:r>
      <w:r w:rsidR="00F26880" w:rsidRPr="00424050">
        <w:t xml:space="preserve">curiosa </w:t>
      </w:r>
      <w:r w:rsidR="0087555D" w:rsidRPr="00424050">
        <w:t xml:space="preserve">la </w:t>
      </w:r>
      <w:r w:rsidR="00D02C7F" w:rsidRPr="00424050">
        <w:t xml:space="preserve">raccomandazione </w:t>
      </w:r>
      <w:r w:rsidR="0087555D" w:rsidRPr="00424050">
        <w:t xml:space="preserve">di </w:t>
      </w:r>
      <w:r w:rsidR="00D02C7F" w:rsidRPr="00424050">
        <w:t>incidere</w:t>
      </w:r>
      <w:r w:rsidR="0087555D" w:rsidRPr="00424050">
        <w:t xml:space="preserve"> il nome di questi uomini pii verso il dio de</w:t>
      </w:r>
      <w:r w:rsidR="00D02C7F" w:rsidRPr="00424050">
        <w:t>lle f</w:t>
      </w:r>
      <w:r w:rsidR="00D123E9" w:rsidRPr="00424050">
        <w:t>ucine</w:t>
      </w:r>
      <w:r w:rsidR="00E10095" w:rsidRPr="00424050">
        <w:t xml:space="preserve"> e</w:t>
      </w:r>
      <w:r w:rsidR="00D02C7F" w:rsidRPr="00424050">
        <w:t xml:space="preserve"> padre di Erittonio</w:t>
      </w:r>
      <w:r w:rsidR="00E10095" w:rsidRPr="00424050">
        <w:t xml:space="preserve">, </w:t>
      </w:r>
      <w:r w:rsidR="002805CD" w:rsidRPr="00424050">
        <w:t>co</w:t>
      </w:r>
      <w:r w:rsidR="00F26880" w:rsidRPr="00424050">
        <w:t xml:space="preserve">n </w:t>
      </w:r>
      <w:r w:rsidR="002805CD" w:rsidRPr="00424050">
        <w:t>patronimico e demotico</w:t>
      </w:r>
      <w:r w:rsidR="006C747D" w:rsidRPr="00424050">
        <w:t xml:space="preserve"> </w:t>
      </w:r>
      <w:r w:rsidR="00DA56C5" w:rsidRPr="00424050">
        <w:t>(</w:t>
      </w:r>
      <w:r w:rsidR="00981F78" w:rsidRPr="00424050">
        <w:t xml:space="preserve">B </w:t>
      </w:r>
      <w:r w:rsidR="00DA56C5" w:rsidRPr="00424050">
        <w:t>ll. 20-21</w:t>
      </w:r>
      <w:r w:rsidR="0087555D" w:rsidRPr="00424050">
        <w:t>: πατρόθεν καὶ τοῦ δήμ[ου</w:t>
      </w:r>
      <w:r w:rsidR="0006558D" w:rsidRPr="00424050">
        <w:t>]</w:t>
      </w:r>
      <w:r w:rsidR="00DA56C5" w:rsidRPr="00424050">
        <w:t>)</w:t>
      </w:r>
      <w:r w:rsidR="00B133F0" w:rsidRPr="00424050">
        <w:t>. U</w:t>
      </w:r>
      <w:r w:rsidR="00584916" w:rsidRPr="00424050">
        <w:t xml:space="preserve">na simile richiesta </w:t>
      </w:r>
      <w:r w:rsidR="005A3792" w:rsidRPr="00424050">
        <w:t xml:space="preserve">è </w:t>
      </w:r>
      <w:r w:rsidR="0006558D" w:rsidRPr="00424050">
        <w:t xml:space="preserve">forse </w:t>
      </w:r>
      <w:r w:rsidR="005A3792" w:rsidRPr="00424050">
        <w:t xml:space="preserve">legata a </w:t>
      </w:r>
      <w:r w:rsidR="00747057" w:rsidRPr="00424050">
        <w:t xml:space="preserve">una </w:t>
      </w:r>
      <w:r w:rsidR="00584916" w:rsidRPr="00424050">
        <w:t>rivendica</w:t>
      </w:r>
      <w:r w:rsidR="00747057" w:rsidRPr="00424050">
        <w:t xml:space="preserve">zione, </w:t>
      </w:r>
      <w:r w:rsidR="00584916" w:rsidRPr="00424050">
        <w:t xml:space="preserve">per tutti, </w:t>
      </w:r>
      <w:r w:rsidR="00747057" w:rsidRPr="00424050">
        <w:t>de</w:t>
      </w:r>
      <w:r w:rsidR="00584916" w:rsidRPr="00424050">
        <w:t xml:space="preserve">l pieno diritto </w:t>
      </w:r>
      <w:r w:rsidR="001A2CAB" w:rsidRPr="00424050">
        <w:t xml:space="preserve">di </w:t>
      </w:r>
      <w:r w:rsidR="001A2CAB" w:rsidRPr="00424050">
        <w:lastRenderedPageBreak/>
        <w:t xml:space="preserve">cittadinanza, ovvero – ipotizzando buleuti provenienti da tribù diverse – </w:t>
      </w:r>
      <w:r w:rsidR="005A3792" w:rsidRPr="00424050">
        <w:t>al</w:t>
      </w:r>
      <w:r w:rsidR="001A2CAB" w:rsidRPr="00424050">
        <w:t>l</w:t>
      </w:r>
      <w:r w:rsidR="00D77C1A" w:rsidRPr="00424050">
        <w:t>’evidenza di una</w:t>
      </w:r>
      <w:r w:rsidR="001A2CAB" w:rsidRPr="00424050">
        <w:t xml:space="preserve"> </w:t>
      </w:r>
      <w:r w:rsidR="001A2CAB" w:rsidRPr="00424050">
        <w:rPr>
          <w:i/>
          <w:iCs/>
        </w:rPr>
        <w:t>pietas</w:t>
      </w:r>
      <w:r w:rsidR="001A2CAB" w:rsidRPr="00424050">
        <w:t xml:space="preserve"> diffusa sul territorio nei confronti della coppia divina. </w:t>
      </w:r>
      <w:r w:rsidR="00FB1406" w:rsidRPr="00424050">
        <w:t>A livello puramente speculativo e</w:t>
      </w:r>
      <w:r w:rsidR="00AB1FFA" w:rsidRPr="00424050">
        <w:t xml:space="preserve"> </w:t>
      </w:r>
      <w:r w:rsidR="00D77C1A" w:rsidRPr="00424050">
        <w:t xml:space="preserve">in considerazione del ruolo </w:t>
      </w:r>
      <w:r w:rsidR="00B15E8F" w:rsidRPr="00424050">
        <w:t xml:space="preserve">che </w:t>
      </w:r>
      <w:r w:rsidR="00D77C1A" w:rsidRPr="00424050">
        <w:t xml:space="preserve">Fanodemo </w:t>
      </w:r>
      <w:r w:rsidR="00981F78" w:rsidRPr="00424050">
        <w:t xml:space="preserve">riveste </w:t>
      </w:r>
      <w:r w:rsidR="00D77C1A" w:rsidRPr="00424050">
        <w:t>nell’</w:t>
      </w:r>
      <w:r w:rsidR="00D77C1A" w:rsidRPr="00424050">
        <w:rPr>
          <w:i/>
          <w:iCs/>
        </w:rPr>
        <w:t>entourage</w:t>
      </w:r>
      <w:r w:rsidR="00D77C1A" w:rsidRPr="00424050">
        <w:t xml:space="preserve"> licurgheo, </w:t>
      </w:r>
      <w:r w:rsidR="00FB1406" w:rsidRPr="00424050">
        <w:t xml:space="preserve">la disposizione potrebbe assumere il valore di un </w:t>
      </w:r>
      <w:r w:rsidR="00AB34D0" w:rsidRPr="00424050">
        <w:t xml:space="preserve">manifesto </w:t>
      </w:r>
      <w:r w:rsidR="00FB1406" w:rsidRPr="00424050">
        <w:t>sociale</w:t>
      </w:r>
      <w:r w:rsidR="00D77CBC" w:rsidRPr="00424050">
        <w:t xml:space="preserve"> </w:t>
      </w:r>
      <w:r w:rsidR="00FB1406" w:rsidRPr="00424050">
        <w:t xml:space="preserve">andando a </w:t>
      </w:r>
      <w:r w:rsidR="00AB34D0" w:rsidRPr="00424050">
        <w:t>sottolinea</w:t>
      </w:r>
      <w:r w:rsidR="00FB1406" w:rsidRPr="00424050">
        <w:t>re</w:t>
      </w:r>
      <w:r w:rsidR="00AB34D0" w:rsidRPr="00424050">
        <w:t xml:space="preserve"> la liceità de</w:t>
      </w:r>
      <w:r w:rsidR="00584916" w:rsidRPr="00424050">
        <w:t>lla partecipazione all’amministrazione poleica</w:t>
      </w:r>
      <w:r w:rsidR="00AB34D0" w:rsidRPr="00424050">
        <w:t xml:space="preserve"> dei personaggi in elenco</w:t>
      </w:r>
      <w:r w:rsidR="00D77C1A" w:rsidRPr="00424050">
        <w:t>,</w:t>
      </w:r>
      <w:r w:rsidR="00AB34D0" w:rsidRPr="00424050">
        <w:t xml:space="preserve"> a</w:t>
      </w:r>
      <w:r w:rsidR="00584916" w:rsidRPr="00424050">
        <w:t xml:space="preserve"> fronte </w:t>
      </w:r>
      <w:r w:rsidR="00AB34D0" w:rsidRPr="00424050">
        <w:t>di</w:t>
      </w:r>
      <w:r w:rsidR="00584916" w:rsidRPr="00424050">
        <w:t xml:space="preserve"> un’opinione pubblica non paga della docimasia </w:t>
      </w:r>
      <w:r w:rsidR="008C2DD9" w:rsidRPr="00424050">
        <w:t>operata sui magistrati</w:t>
      </w:r>
      <w:r w:rsidR="00D77C1A" w:rsidRPr="00424050">
        <w:t xml:space="preserve">. </w:t>
      </w:r>
      <w:r w:rsidR="00F26880" w:rsidRPr="00424050">
        <w:t>E una</w:t>
      </w:r>
      <w:r w:rsidR="00D77C1A" w:rsidRPr="00424050">
        <w:t xml:space="preserve"> situazione </w:t>
      </w:r>
      <w:r w:rsidR="00F26880" w:rsidRPr="00424050">
        <w:t xml:space="preserve">di questo tipo </w:t>
      </w:r>
      <w:r w:rsidR="00981F78" w:rsidRPr="00424050">
        <w:t>può</w:t>
      </w:r>
      <w:r w:rsidR="00AB34D0" w:rsidRPr="00424050">
        <w:t xml:space="preserve"> </w:t>
      </w:r>
      <w:r w:rsidR="00F26880" w:rsidRPr="00424050">
        <w:t xml:space="preserve">essere compatibile </w:t>
      </w:r>
      <w:r w:rsidR="00AB34D0" w:rsidRPr="00424050">
        <w:t xml:space="preserve">nel caso di </w:t>
      </w:r>
      <w:r w:rsidR="00584916" w:rsidRPr="00424050">
        <w:t>figli di naturalizzati,</w:t>
      </w:r>
      <w:r w:rsidR="00E066AF" w:rsidRPr="00424050">
        <w:t xml:space="preserve"> ammessi anche ai sacerdozi e all’arcontato </w:t>
      </w:r>
      <w:r w:rsidR="00755ADA" w:rsidRPr="00424050">
        <w:t>a condizione che l</w:t>
      </w:r>
      <w:r w:rsidR="00E066AF" w:rsidRPr="00424050">
        <w:t>a madre fosse un</w:t>
      </w:r>
      <w:r w:rsidR="000B7C5A" w:rsidRPr="00424050">
        <w:t>’</w:t>
      </w:r>
      <w:r w:rsidR="00E066AF" w:rsidRPr="00424050">
        <w:rPr>
          <w:i/>
          <w:iCs/>
        </w:rPr>
        <w:t>ast</w:t>
      </w:r>
      <w:r w:rsidR="00981F78" w:rsidRPr="00424050">
        <w:rPr>
          <w:i/>
          <w:iCs/>
        </w:rPr>
        <w:t>e</w:t>
      </w:r>
      <w:r w:rsidR="00E066AF" w:rsidRPr="00424050">
        <w:rPr>
          <w:rStyle w:val="Rimandonotaapidipagina"/>
        </w:rPr>
        <w:footnoteReference w:id="51"/>
      </w:r>
      <w:r w:rsidR="00E066AF" w:rsidRPr="00424050">
        <w:t>,</w:t>
      </w:r>
      <w:r w:rsidR="00584916" w:rsidRPr="00424050">
        <w:t xml:space="preserve"> </w:t>
      </w:r>
      <w:r w:rsidR="00AB34D0" w:rsidRPr="00424050">
        <w:t xml:space="preserve">tollerati </w:t>
      </w:r>
      <w:r w:rsidR="00584916" w:rsidRPr="00424050">
        <w:t>e tutt’altro che accettati</w:t>
      </w:r>
      <w:r w:rsidR="00584916" w:rsidRPr="00424050">
        <w:rPr>
          <w:rStyle w:val="Rimandonotaapidipagina"/>
        </w:rPr>
        <w:footnoteReference w:id="52"/>
      </w:r>
      <w:r w:rsidR="00584916" w:rsidRPr="00424050">
        <w:t xml:space="preserve">. </w:t>
      </w:r>
      <w:r w:rsidR="00F26880" w:rsidRPr="00424050">
        <w:t xml:space="preserve">Le proposte del nostro personaggio </w:t>
      </w:r>
      <w:r w:rsidR="00061CDA" w:rsidRPr="00424050">
        <w:t xml:space="preserve">proseguono poi con la richiesta di </w:t>
      </w:r>
      <w:r w:rsidR="00755ADA" w:rsidRPr="00424050">
        <w:t xml:space="preserve">un sacrificio </w:t>
      </w:r>
      <w:r w:rsidR="000956BC" w:rsidRPr="00424050">
        <w:t>ἐφ̣</w:t>
      </w:r>
      <w:r w:rsidR="000956BC" w:rsidRPr="00424050">
        <w:rPr>
          <w:rFonts w:cs="Garamond Premr Pro"/>
        </w:rPr>
        <w:t>’</w:t>
      </w:r>
      <w:r w:rsidR="000956BC" w:rsidRPr="00424050">
        <w:t xml:space="preserve"> ὑγι[εί]αι καὶ σωτηρίαι τῆς βουλῆς καὶ τοῦ δήμου [τοῦ Ἀθηναίων (</w:t>
      </w:r>
      <w:r w:rsidR="00981F78" w:rsidRPr="00424050">
        <w:t xml:space="preserve">B </w:t>
      </w:r>
      <w:r w:rsidR="000956BC" w:rsidRPr="00424050">
        <w:t>l. 21)</w:t>
      </w:r>
      <w:r w:rsidR="00BD43E0" w:rsidRPr="00424050">
        <w:t xml:space="preserve"> e</w:t>
      </w:r>
      <w:r w:rsidR="00061CDA" w:rsidRPr="00424050">
        <w:t xml:space="preserve"> l’incisione del</w:t>
      </w:r>
      <w:r w:rsidR="00BD43E0" w:rsidRPr="00424050">
        <w:t xml:space="preserve"> decreto con cui il demo incoronava la Bule al</w:t>
      </w:r>
      <w:r w:rsidR="00E056E0" w:rsidRPr="00424050">
        <w:t xml:space="preserve">l’assemblea del teatro di Dioniso, </w:t>
      </w:r>
      <w:r w:rsidR="00BD43E0" w:rsidRPr="00424050">
        <w:t xml:space="preserve">per aver ben gestito </w:t>
      </w:r>
      <w:r w:rsidR="00E056E0" w:rsidRPr="00424050">
        <w:t>l’ordine pubblico alle feste delle Dionisie (</w:t>
      </w:r>
      <w:r w:rsidR="00981F78" w:rsidRPr="00424050">
        <w:t xml:space="preserve">B </w:t>
      </w:r>
      <w:r w:rsidR="00E056E0" w:rsidRPr="00424050">
        <w:t xml:space="preserve">ll. 21-23). Ora, </w:t>
      </w:r>
      <w:r w:rsidR="0069257E" w:rsidRPr="00424050">
        <w:t>nei frammenti sopravvissuti dell’</w:t>
      </w:r>
      <w:r w:rsidR="0069257E" w:rsidRPr="00424050">
        <w:rPr>
          <w:i/>
          <w:iCs/>
        </w:rPr>
        <w:t>Atthis</w:t>
      </w:r>
      <w:r w:rsidR="0069257E" w:rsidRPr="00424050">
        <w:t xml:space="preserve"> di </w:t>
      </w:r>
      <w:r w:rsidR="00E056E0" w:rsidRPr="00424050">
        <w:t xml:space="preserve">Fanodemo </w:t>
      </w:r>
      <w:r w:rsidR="0069257E" w:rsidRPr="00424050">
        <w:t xml:space="preserve">abbiamo </w:t>
      </w:r>
      <w:r w:rsidR="00E41BF1" w:rsidRPr="00424050">
        <w:t xml:space="preserve">testimonianza </w:t>
      </w:r>
      <w:r w:rsidR="0069257E" w:rsidRPr="00424050">
        <w:t xml:space="preserve">che </w:t>
      </w:r>
      <w:r w:rsidR="00605B73" w:rsidRPr="00424050">
        <w:t xml:space="preserve">il nostro personaggio </w:t>
      </w:r>
      <w:r w:rsidR="0069257E" w:rsidRPr="00424050">
        <w:t xml:space="preserve">si occupò </w:t>
      </w:r>
      <w:r w:rsidR="00E41BF1" w:rsidRPr="00424050">
        <w:t>del ruolo di Efesto nella comunità ateniese: un frammento tradito da Arpocrazione ci evidenzia l’inte</w:t>
      </w:r>
      <w:r w:rsidR="00D77CBC" w:rsidRPr="00424050">
        <w:t>nto</w:t>
      </w:r>
      <w:r w:rsidR="00E41BF1" w:rsidRPr="00424050">
        <w:t xml:space="preserve"> </w:t>
      </w:r>
      <w:r w:rsidR="00981F78" w:rsidRPr="00424050">
        <w:t>di Fanodemo</w:t>
      </w:r>
      <w:r w:rsidR="00E41BF1" w:rsidRPr="00424050">
        <w:t xml:space="preserve"> </w:t>
      </w:r>
      <w:r w:rsidR="00516EC6" w:rsidRPr="00424050">
        <w:t>d</w:t>
      </w:r>
      <w:r w:rsidR="00D77CBC" w:rsidRPr="00424050">
        <w:t>i</w:t>
      </w:r>
      <w:r w:rsidR="00516EC6" w:rsidRPr="00424050">
        <w:t xml:space="preserve"> affermare il ruolo del </w:t>
      </w:r>
      <w:r w:rsidR="00E41BF1" w:rsidRPr="00424050">
        <w:t xml:space="preserve">dio nel tessuto cittadino, attribuendogli </w:t>
      </w:r>
      <w:r w:rsidR="00D904FB" w:rsidRPr="00424050">
        <w:t>l</w:t>
      </w:r>
      <w:r w:rsidR="00E41BF1" w:rsidRPr="00424050">
        <w:t xml:space="preserve">e festività dei </w:t>
      </w:r>
      <w:r w:rsidR="0069257E" w:rsidRPr="00424050">
        <w:rPr>
          <w:i/>
          <w:iCs/>
        </w:rPr>
        <w:t>Chalkeia</w:t>
      </w:r>
      <w:r w:rsidR="00125C46" w:rsidRPr="00424050">
        <w:t xml:space="preserve">, </w:t>
      </w:r>
      <w:r w:rsidR="00F158E3" w:rsidRPr="00424050">
        <w:t xml:space="preserve">altrimenti considerata </w:t>
      </w:r>
      <w:r w:rsidR="00125C46" w:rsidRPr="00424050">
        <w:t xml:space="preserve">festa della dea della </w:t>
      </w:r>
      <w:r w:rsidR="00125C46" w:rsidRPr="00424050">
        <w:rPr>
          <w:i/>
          <w:iCs/>
        </w:rPr>
        <w:t>metis</w:t>
      </w:r>
      <w:r w:rsidR="00125C46" w:rsidRPr="00424050">
        <w:t>, Atena</w:t>
      </w:r>
      <w:r w:rsidR="007E3289" w:rsidRPr="00424050">
        <w:rPr>
          <w:rStyle w:val="Rimandonotaapidipagina"/>
        </w:rPr>
        <w:footnoteReference w:id="53"/>
      </w:r>
      <w:r w:rsidR="00D904FB" w:rsidRPr="00424050">
        <w:t>.</w:t>
      </w:r>
      <w:r w:rsidR="007836DC" w:rsidRPr="00424050">
        <w:t xml:space="preserve"> </w:t>
      </w:r>
      <w:r w:rsidR="002B79C3" w:rsidRPr="00424050">
        <w:t>Di questo dio introdotto ad Atene nel corso del V sec.</w:t>
      </w:r>
      <w:r w:rsidR="002B79C3" w:rsidRPr="00424050">
        <w:rPr>
          <w:rStyle w:val="Rimandonotaapidipagina"/>
        </w:rPr>
        <w:footnoteReference w:id="54"/>
      </w:r>
      <w:r w:rsidR="002B79C3" w:rsidRPr="00424050">
        <w:t xml:space="preserve">, con il luogo di culto </w:t>
      </w:r>
      <w:r w:rsidR="002B79C3" w:rsidRPr="00424050">
        <w:lastRenderedPageBreak/>
        <w:t>nell’agora del Ceramico, sul Kolonos Agoraios, ed associato all’Atena Ergane/Hephaisteia</w:t>
      </w:r>
      <w:r w:rsidR="002B79C3" w:rsidRPr="00424050">
        <w:rPr>
          <w:rStyle w:val="Rimandonotaapidipagina"/>
        </w:rPr>
        <w:footnoteReference w:id="55"/>
      </w:r>
      <w:r w:rsidR="002B79C3" w:rsidRPr="00424050">
        <w:t xml:space="preserve">, conosciamo </w:t>
      </w:r>
      <w:r w:rsidR="00981F78" w:rsidRPr="00424050">
        <w:t>un’altra</w:t>
      </w:r>
      <w:r w:rsidR="002B79C3" w:rsidRPr="00424050">
        <w:t xml:space="preserve"> festività, quell</w:t>
      </w:r>
      <w:r w:rsidR="00981F78" w:rsidRPr="00424050">
        <w:t>a</w:t>
      </w:r>
      <w:r w:rsidR="002B79C3" w:rsidRPr="00424050">
        <w:t xml:space="preserve"> degli </w:t>
      </w:r>
      <w:r w:rsidR="002B79C3" w:rsidRPr="00424050">
        <w:rPr>
          <w:i/>
          <w:iCs/>
        </w:rPr>
        <w:t>Hephaisteia</w:t>
      </w:r>
      <w:r w:rsidR="002B79C3" w:rsidRPr="00424050">
        <w:rPr>
          <w:rStyle w:val="Rimandonotaapidipagina"/>
        </w:rPr>
        <w:footnoteReference w:id="56"/>
      </w:r>
      <w:r w:rsidR="002B79C3" w:rsidRPr="00424050">
        <w:t>, caratterizzate da una compartecipazione alle carni</w:t>
      </w:r>
      <w:r w:rsidR="00650A2A" w:rsidRPr="00424050">
        <w:t xml:space="preserve"> </w:t>
      </w:r>
      <w:r w:rsidR="00F15EE2" w:rsidRPr="00424050">
        <w:t>del</w:t>
      </w:r>
      <w:r w:rsidR="002B79C3" w:rsidRPr="00424050">
        <w:t xml:space="preserve"> sacrificio</w:t>
      </w:r>
      <w:r w:rsidR="00650A2A" w:rsidRPr="00424050">
        <w:t xml:space="preserve"> di 3 buoi</w:t>
      </w:r>
      <w:r w:rsidR="002B79C3" w:rsidRPr="00424050">
        <w:t xml:space="preserve"> d</w:t>
      </w:r>
      <w:r w:rsidR="000E3F03" w:rsidRPr="00424050">
        <w:t>a parte d</w:t>
      </w:r>
      <w:r w:rsidR="002B79C3" w:rsidRPr="00424050">
        <w:t>ei meteci</w:t>
      </w:r>
      <w:r w:rsidR="00650A2A" w:rsidRPr="00424050">
        <w:rPr>
          <w:rStyle w:val="Rimandonotaapidipagina"/>
        </w:rPr>
        <w:footnoteReference w:id="57"/>
      </w:r>
      <w:r w:rsidR="003C749E" w:rsidRPr="00424050">
        <w:t>. Ora,</w:t>
      </w:r>
      <w:r w:rsidR="00650A2A" w:rsidRPr="00424050">
        <w:t xml:space="preserve"> la politica inclusiva tipica di </w:t>
      </w:r>
      <w:r w:rsidR="00F15EE2" w:rsidRPr="00424050">
        <w:t xml:space="preserve">questa età </w:t>
      </w:r>
      <w:r w:rsidR="005A3792" w:rsidRPr="00424050">
        <w:lastRenderedPageBreak/>
        <w:t xml:space="preserve">- </w:t>
      </w:r>
      <w:r w:rsidR="00F15EE2" w:rsidRPr="00424050">
        <w:t xml:space="preserve">e di </w:t>
      </w:r>
      <w:r w:rsidR="00543D53" w:rsidRPr="00424050">
        <w:t xml:space="preserve">Fanodemo, uomo di </w:t>
      </w:r>
      <w:r w:rsidR="00650A2A" w:rsidRPr="00424050">
        <w:t>Licurgo</w:t>
      </w:r>
      <w:r w:rsidR="00F15EE2" w:rsidRPr="00424050">
        <w:t xml:space="preserve"> </w:t>
      </w:r>
      <w:r w:rsidR="005A3792" w:rsidRPr="00424050">
        <w:t>-</w:t>
      </w:r>
      <w:r w:rsidR="00F15EE2" w:rsidRPr="00424050">
        <w:t xml:space="preserve"> </w:t>
      </w:r>
      <w:r w:rsidR="003C749E" w:rsidRPr="00424050">
        <w:t>può aver</w:t>
      </w:r>
      <w:r w:rsidR="00650A2A" w:rsidRPr="00424050">
        <w:t xml:space="preserve"> </w:t>
      </w:r>
      <w:r w:rsidR="003C749E" w:rsidRPr="00424050">
        <w:t xml:space="preserve">avuto un ruolo nella proposta </w:t>
      </w:r>
      <w:r w:rsidR="005A3792" w:rsidRPr="00424050">
        <w:t>d</w:t>
      </w:r>
      <w:r w:rsidR="00543D53" w:rsidRPr="00424050">
        <w:t>i dedica</w:t>
      </w:r>
      <w:r w:rsidR="003C749E" w:rsidRPr="00424050">
        <w:t xml:space="preserve"> </w:t>
      </w:r>
      <w:r w:rsidR="005A3792" w:rsidRPr="00424050">
        <w:t>a</w:t>
      </w:r>
      <w:r w:rsidR="00307193" w:rsidRPr="00424050">
        <w:t xml:space="preserve"> questa </w:t>
      </w:r>
      <w:r w:rsidR="005A3792" w:rsidRPr="00424050">
        <w:t>coppia divina</w:t>
      </w:r>
      <w:r w:rsidR="00543D53" w:rsidRPr="00424050">
        <w:t xml:space="preserve"> </w:t>
      </w:r>
      <w:r w:rsidR="00307193" w:rsidRPr="00424050">
        <w:t>dalle spiccate propensioni</w:t>
      </w:r>
      <w:r w:rsidR="00CF40E6" w:rsidRPr="00424050">
        <w:t xml:space="preserve"> democratic</w:t>
      </w:r>
      <w:r w:rsidR="00307193" w:rsidRPr="00424050">
        <w:t>he</w:t>
      </w:r>
      <w:r w:rsidR="00543D53" w:rsidRPr="00424050">
        <w:t>, ma</w:t>
      </w:r>
      <w:r w:rsidR="00981F78" w:rsidRPr="00424050">
        <w:t xml:space="preserve"> è necessario ricordare anche che</w:t>
      </w:r>
      <w:r w:rsidR="00543D53" w:rsidRPr="00424050">
        <w:t xml:space="preserve"> </w:t>
      </w:r>
      <w:r w:rsidR="00307193" w:rsidRPr="00424050">
        <w:t xml:space="preserve">vi sono </w:t>
      </w:r>
      <w:r w:rsidR="000041E9" w:rsidRPr="00424050">
        <w:t xml:space="preserve">attività </w:t>
      </w:r>
      <w:r w:rsidR="00917607" w:rsidRPr="00424050">
        <w:t>di rilievo</w:t>
      </w:r>
      <w:r w:rsidR="000041E9" w:rsidRPr="00424050">
        <w:t xml:space="preserve"> per la </w:t>
      </w:r>
      <w:r w:rsidR="000041E9" w:rsidRPr="00424050">
        <w:rPr>
          <w:i/>
          <w:iCs/>
        </w:rPr>
        <w:t>res publica</w:t>
      </w:r>
      <w:r w:rsidR="003E5A12" w:rsidRPr="00424050">
        <w:t xml:space="preserve"> che non potevano essere sotto la tutela </w:t>
      </w:r>
      <w:r w:rsidR="00D123E9" w:rsidRPr="00424050">
        <w:t>di altre divinità se non d</w:t>
      </w:r>
      <w:r w:rsidR="00307193" w:rsidRPr="00424050">
        <w:t>i Atena ed Efesto</w:t>
      </w:r>
      <w:r w:rsidR="00981F78" w:rsidRPr="00424050">
        <w:t>,</w:t>
      </w:r>
      <w:r w:rsidR="00307193" w:rsidRPr="00424050">
        <w:t xml:space="preserve"> </w:t>
      </w:r>
      <w:r w:rsidR="00646C0F" w:rsidRPr="00424050">
        <w:t xml:space="preserve">come </w:t>
      </w:r>
      <w:r w:rsidR="00981F78" w:rsidRPr="00424050">
        <w:t xml:space="preserve">ad esempio </w:t>
      </w:r>
      <w:r w:rsidR="00646C0F" w:rsidRPr="00424050">
        <w:t xml:space="preserve">quella del conio. Atena ed Efesto compaiono significativamente associati </w:t>
      </w:r>
      <w:r w:rsidR="005F452C" w:rsidRPr="00424050">
        <w:t>prima nel decreto sui pesi e le monete</w:t>
      </w:r>
      <w:r w:rsidR="006C655B" w:rsidRPr="00424050">
        <w:t xml:space="preserve"> del</w:t>
      </w:r>
      <w:r w:rsidR="000B7C5A" w:rsidRPr="00424050">
        <w:t>l’ultimo quarto del V secolo</w:t>
      </w:r>
      <w:r w:rsidR="005F452C" w:rsidRPr="00424050">
        <w:rPr>
          <w:rStyle w:val="Rimandonotaapidipagina"/>
        </w:rPr>
        <w:footnoteReference w:id="58"/>
      </w:r>
      <w:r w:rsidR="000B7C5A" w:rsidRPr="00424050">
        <w:t>,</w:t>
      </w:r>
      <w:r w:rsidR="005F452C" w:rsidRPr="00424050">
        <w:t xml:space="preserve"> </w:t>
      </w:r>
      <w:r w:rsidR="00646C0F" w:rsidRPr="00424050">
        <w:t>poi ne</w:t>
      </w:r>
      <w:r w:rsidR="00461CDD" w:rsidRPr="00424050">
        <w:t xml:space="preserve">lla </w:t>
      </w:r>
      <w:r w:rsidR="00533BDC">
        <w:t>cosiddetta</w:t>
      </w:r>
      <w:r w:rsidR="00461CDD" w:rsidRPr="00424050">
        <w:t xml:space="preserve"> </w:t>
      </w:r>
      <w:r w:rsidR="000B7C5A" w:rsidRPr="00424050">
        <w:t>“</w:t>
      </w:r>
      <w:r w:rsidR="00161B61" w:rsidRPr="00424050">
        <w:t>legge di Epicrate</w:t>
      </w:r>
      <w:r w:rsidR="000B7C5A" w:rsidRPr="00424050">
        <w:t>”</w:t>
      </w:r>
      <w:r w:rsidR="00533BDC">
        <w:t xml:space="preserve"> (</w:t>
      </w:r>
      <w:r w:rsidR="00161B61" w:rsidRPr="00424050">
        <w:t>354/3</w:t>
      </w:r>
      <w:r w:rsidR="00533BDC">
        <w:t>)</w:t>
      </w:r>
      <w:r w:rsidR="00307193" w:rsidRPr="00424050">
        <w:rPr>
          <w:rStyle w:val="Rimandonotaapidipagina"/>
        </w:rPr>
        <w:footnoteReference w:id="59"/>
      </w:r>
      <w:r w:rsidR="00161B61" w:rsidRPr="00424050">
        <w:t xml:space="preserve">. </w:t>
      </w:r>
      <w:r w:rsidR="00917607" w:rsidRPr="00424050">
        <w:t>In quest</w:t>
      </w:r>
      <w:r w:rsidR="00CA6914" w:rsidRPr="00424050">
        <w:t xml:space="preserve">’ultimo </w:t>
      </w:r>
      <w:r w:rsidR="00080295" w:rsidRPr="00424050">
        <w:t>documento</w:t>
      </w:r>
      <w:r w:rsidR="00917607" w:rsidRPr="00424050">
        <w:t xml:space="preserve">, </w:t>
      </w:r>
      <w:r w:rsidR="00161B61" w:rsidRPr="00424050">
        <w:t>incis</w:t>
      </w:r>
      <w:r w:rsidR="00080295" w:rsidRPr="00424050">
        <w:t>o</w:t>
      </w:r>
      <w:r w:rsidR="00161B61" w:rsidRPr="00424050">
        <w:t xml:space="preserve"> non </w:t>
      </w:r>
      <w:r w:rsidR="00161B61" w:rsidRPr="00424050">
        <w:lastRenderedPageBreak/>
        <w:t>stoiched</w:t>
      </w:r>
      <w:r w:rsidR="00D123E9" w:rsidRPr="00424050">
        <w:t>icamente</w:t>
      </w:r>
      <w:r w:rsidR="00161B61" w:rsidRPr="00424050">
        <w:t xml:space="preserve"> e fortemente </w:t>
      </w:r>
      <w:r w:rsidR="00D123E9" w:rsidRPr="00424050">
        <w:t>lacunos</w:t>
      </w:r>
      <w:r w:rsidR="00080295" w:rsidRPr="00424050">
        <w:t>o</w:t>
      </w:r>
      <w:r w:rsidR="00161B61" w:rsidRPr="00424050">
        <w:t xml:space="preserve"> in alcuni suoi punti</w:t>
      </w:r>
      <w:r w:rsidR="008E06E6" w:rsidRPr="00424050">
        <w:t>,</w:t>
      </w:r>
      <w:r w:rsidR="006D11EC" w:rsidRPr="00424050">
        <w:t xml:space="preserve"> vengono</w:t>
      </w:r>
      <w:r w:rsidR="00EF1089" w:rsidRPr="00424050">
        <w:t xml:space="preserve"> menzionate le feste</w:t>
      </w:r>
      <w:r w:rsidR="008E06E6" w:rsidRPr="00424050">
        <w:t xml:space="preserve"> per la coppia divina, il fondo per Efesto ed Atena</w:t>
      </w:r>
      <w:r w:rsidR="00043D9B" w:rsidRPr="00424050">
        <w:rPr>
          <w:rStyle w:val="Rimandonotaapidipagina"/>
        </w:rPr>
        <w:footnoteReference w:id="60"/>
      </w:r>
      <w:r w:rsidR="008E06E6" w:rsidRPr="00424050">
        <w:t xml:space="preserve">, </w:t>
      </w:r>
      <w:r w:rsidR="00FE325C" w:rsidRPr="00424050">
        <w:t>la</w:t>
      </w:r>
      <w:r w:rsidR="008E06E6" w:rsidRPr="00424050">
        <w:t xml:space="preserve"> zecca</w:t>
      </w:r>
      <w:r w:rsidR="00043D9B" w:rsidRPr="00424050">
        <w:t xml:space="preserve"> (ll. 9-10)</w:t>
      </w:r>
      <w:r w:rsidR="00FE325C" w:rsidRPr="00424050">
        <w:t xml:space="preserve"> nonché del </w:t>
      </w:r>
      <w:r w:rsidR="003939C9" w:rsidRPr="00424050">
        <w:t xml:space="preserve">processo di conversione delle monete straniere e la riconiazione </w:t>
      </w:r>
      <w:r w:rsidR="00161B61" w:rsidRPr="00424050">
        <w:t>di argento proveniente da privati</w:t>
      </w:r>
      <w:r w:rsidR="00E700C8" w:rsidRPr="00424050">
        <w:rPr>
          <w:rStyle w:val="Rimandonotaapidipagina"/>
        </w:rPr>
        <w:footnoteReference w:id="61"/>
      </w:r>
      <w:r w:rsidR="00AB1B48" w:rsidRPr="00424050">
        <w:t>.</w:t>
      </w:r>
      <w:r w:rsidR="00E700C8" w:rsidRPr="00424050">
        <w:t xml:space="preserve"> </w:t>
      </w:r>
      <w:r w:rsidR="004945BC" w:rsidRPr="00424050">
        <w:t xml:space="preserve">Fanodemo </w:t>
      </w:r>
      <w:r w:rsidR="00161B61" w:rsidRPr="00424050">
        <w:t xml:space="preserve">buleuta </w:t>
      </w:r>
      <w:r w:rsidR="004945BC" w:rsidRPr="00424050">
        <w:t>può aver avuto occasione</w:t>
      </w:r>
      <w:r w:rsidR="00997DAC" w:rsidRPr="00424050">
        <w:rPr>
          <w:rStyle w:val="Rimandonotaapidipagina"/>
        </w:rPr>
        <w:footnoteReference w:id="62"/>
      </w:r>
      <w:r w:rsidR="004945BC" w:rsidRPr="00424050">
        <w:t xml:space="preserve"> di occuparsi del</w:t>
      </w:r>
      <w:r w:rsidR="00161B61" w:rsidRPr="00424050">
        <w:t xml:space="preserve">la zecca ateniese o </w:t>
      </w:r>
      <w:r w:rsidR="004945BC" w:rsidRPr="00424050">
        <w:t>del</w:t>
      </w:r>
      <w:r w:rsidR="00161B61" w:rsidRPr="00424050">
        <w:t>l’Hephaistikon</w:t>
      </w:r>
      <w:r w:rsidR="00161B61" w:rsidRPr="00424050">
        <w:rPr>
          <w:rStyle w:val="Rimandonotaapidipagina"/>
        </w:rPr>
        <w:footnoteReference w:id="63"/>
      </w:r>
      <w:r w:rsidR="00161B61" w:rsidRPr="00424050">
        <w:t>, un fondo costituito da una tassa imposta sulla produzione di argento delle miniere del Laurion, attestato nel V secolo e utilizzato nel 439</w:t>
      </w:r>
      <w:r w:rsidR="00D123E9" w:rsidRPr="00424050">
        <w:t>/</w:t>
      </w:r>
      <w:r w:rsidR="00161B61" w:rsidRPr="00424050">
        <w:t>8 per la costruzione di Partenone e nel 435</w:t>
      </w:r>
      <w:r w:rsidR="00D123E9" w:rsidRPr="00424050">
        <w:t>/</w:t>
      </w:r>
      <w:r w:rsidR="00161B61" w:rsidRPr="00424050">
        <w:t>4 per i propilei</w:t>
      </w:r>
      <w:r w:rsidR="00161B61" w:rsidRPr="00424050">
        <w:rPr>
          <w:rStyle w:val="Rimandonotaapidipagina"/>
        </w:rPr>
        <w:footnoteReference w:id="64"/>
      </w:r>
      <w:r w:rsidR="00161B61" w:rsidRPr="00424050">
        <w:t>. Se fosse possibile ipotizzare la sopravvivenza o, meglio, la riorganizzazione d</w:t>
      </w:r>
      <w:r w:rsidR="004945BC" w:rsidRPr="00424050">
        <w:t xml:space="preserve">i questo fondo </w:t>
      </w:r>
      <w:r w:rsidR="00161B61" w:rsidRPr="00424050">
        <w:t xml:space="preserve">sembrerebbe logico pensare alla statua fatta votare da Fanodemo come offerta di </w:t>
      </w:r>
      <w:r w:rsidR="00161B61" w:rsidRPr="00424050">
        <w:rPr>
          <w:i/>
          <w:iCs/>
        </w:rPr>
        <w:t>eparch</w:t>
      </w:r>
      <w:r w:rsidR="00207DB0" w:rsidRPr="00424050">
        <w:rPr>
          <w:i/>
          <w:iCs/>
        </w:rPr>
        <w:t>e</w:t>
      </w:r>
      <w:r w:rsidR="00161B61" w:rsidRPr="00424050">
        <w:t>, forse tra le più consistenti degli ultimi anni</w:t>
      </w:r>
      <w:r w:rsidR="00161B61" w:rsidRPr="00424050">
        <w:rPr>
          <w:rStyle w:val="Rimandonotaapidipagina"/>
        </w:rPr>
        <w:footnoteReference w:id="65"/>
      </w:r>
      <w:r w:rsidR="00161B61" w:rsidRPr="00424050">
        <w:t>.</w:t>
      </w:r>
    </w:p>
    <w:p w14:paraId="125B4300" w14:textId="77777777" w:rsidR="00385FFB" w:rsidRPr="00424050" w:rsidRDefault="00385FFB" w:rsidP="00385FFB">
      <w:pPr>
        <w:autoSpaceDE w:val="0"/>
        <w:autoSpaceDN w:val="0"/>
        <w:adjustRightInd w:val="0"/>
        <w:jc w:val="both"/>
      </w:pPr>
      <w:r w:rsidRPr="00424050">
        <w:lastRenderedPageBreak/>
        <w:tab/>
      </w:r>
      <w:r w:rsidR="00D13B32" w:rsidRPr="00424050">
        <w:t xml:space="preserve">Per concludere l’analisi del secondo decreto relativo a Fanodemo, </w:t>
      </w:r>
      <w:r w:rsidR="0082021E" w:rsidRPr="00424050">
        <w:t>è opportuno richiamare l’attenzione</w:t>
      </w:r>
      <w:r w:rsidR="007D31AB" w:rsidRPr="00424050">
        <w:t xml:space="preserve"> sull’ultima formula presente nel testo</w:t>
      </w:r>
      <w:r w:rsidR="0082021E" w:rsidRPr="00424050">
        <w:t>, che</w:t>
      </w:r>
      <w:r w:rsidR="007D31AB" w:rsidRPr="00424050">
        <w:t xml:space="preserve"> accompagna la richiesta di un sacrificio: ἐφ̣</w:t>
      </w:r>
      <w:r w:rsidR="007D31AB" w:rsidRPr="00424050">
        <w:rPr>
          <w:rFonts w:cs="Garamond Premr Pro"/>
        </w:rPr>
        <w:t>’</w:t>
      </w:r>
      <w:r w:rsidR="007D31AB" w:rsidRPr="00424050">
        <w:t xml:space="preserve"> ὑγι[εί]αι καὶ σωτηρίαι τῆς βουλῆς καὶ τοῦ δήμου [τοῦ Ἀθηναίων</w:t>
      </w:r>
      <w:r w:rsidR="00D13B32" w:rsidRPr="00424050">
        <w:t xml:space="preserve"> </w:t>
      </w:r>
      <w:r w:rsidR="007D31AB" w:rsidRPr="00424050">
        <w:t>(</w:t>
      </w:r>
      <w:r w:rsidR="00D13B32" w:rsidRPr="00424050">
        <w:t>l.21</w:t>
      </w:r>
      <w:r w:rsidR="007D31AB" w:rsidRPr="00424050">
        <w:t>)</w:t>
      </w:r>
      <w:r w:rsidR="00E66F6F" w:rsidRPr="00424050">
        <w:t>. A</w:t>
      </w:r>
      <w:r w:rsidR="007D31AB" w:rsidRPr="00424050">
        <w:t xml:space="preserve"> quanto sembra, anche in questo caso ci troviamo di fronte alla prima attestazione dell’espressione, </w:t>
      </w:r>
      <w:r w:rsidR="00A46F07" w:rsidRPr="00424050">
        <w:t xml:space="preserve">da associare ancora una volta </w:t>
      </w:r>
      <w:r w:rsidR="003A5573" w:rsidRPr="00424050">
        <w:t xml:space="preserve">a </w:t>
      </w:r>
      <w:r w:rsidR="00F94AE5" w:rsidRPr="00424050">
        <w:t>Fanodemo</w:t>
      </w:r>
      <w:r w:rsidR="0014018F" w:rsidRPr="00424050">
        <w:t xml:space="preserve"> in una iscrizione oropia del </w:t>
      </w:r>
      <w:r w:rsidR="007D31AB" w:rsidRPr="00424050">
        <w:t>332</w:t>
      </w:r>
      <w:r w:rsidR="002F0008" w:rsidRPr="00424050">
        <w:t>/1</w:t>
      </w:r>
      <w:r w:rsidR="003A5573" w:rsidRPr="00424050">
        <w:t xml:space="preserve"> del 332/1. Si tratta del famoso decreto con cui il nostro attidografo onora il dio del santuario iatrico di Oropo, Anfiarao, con una corona d’oro di 1000 dracme</w:t>
      </w:r>
      <w:r w:rsidR="003123AE" w:rsidRPr="00424050">
        <w:t xml:space="preserve"> ἐφ’ὑγιείαι</w:t>
      </w:r>
      <w:r w:rsidR="003A5573" w:rsidRPr="00424050">
        <w:t xml:space="preserve"> </w:t>
      </w:r>
      <w:r w:rsidR="003123AE" w:rsidRPr="00424050">
        <w:t>καὶ</w:t>
      </w:r>
      <w:r w:rsidR="003A5573" w:rsidRPr="00424050">
        <w:t xml:space="preserve"> </w:t>
      </w:r>
      <w:r w:rsidR="003123AE" w:rsidRPr="00424050">
        <w:t>σωτηρίαι</w:t>
      </w:r>
      <w:r w:rsidR="003A5573" w:rsidRPr="00424050">
        <w:t xml:space="preserve"> </w:t>
      </w:r>
      <w:r w:rsidR="003123AE" w:rsidRPr="00424050">
        <w:t>τοῦ</w:t>
      </w:r>
      <w:r w:rsidR="003A5573" w:rsidRPr="00424050">
        <w:t xml:space="preserve"> </w:t>
      </w:r>
      <w:r w:rsidR="003123AE" w:rsidRPr="00424050">
        <w:t>δήμου</w:t>
      </w:r>
      <w:r w:rsidR="003A5573" w:rsidRPr="00424050">
        <w:t xml:space="preserve"> </w:t>
      </w:r>
      <w:r w:rsidR="003123AE" w:rsidRPr="00424050">
        <w:t>τοῦ</w:t>
      </w:r>
      <w:r w:rsidR="003A5573" w:rsidRPr="00424050">
        <w:t xml:space="preserve"> </w:t>
      </w:r>
      <w:r w:rsidR="003123AE" w:rsidRPr="00424050">
        <w:t>Ἀθηναίων</w:t>
      </w:r>
      <w:r w:rsidR="003A5573" w:rsidRPr="00424050">
        <w:t xml:space="preserve"> </w:t>
      </w:r>
      <w:r w:rsidR="003123AE" w:rsidRPr="00424050">
        <w:t>καὶ</w:t>
      </w:r>
      <w:r w:rsidR="003A5573" w:rsidRPr="00424050">
        <w:t xml:space="preserve"> </w:t>
      </w:r>
      <w:r w:rsidR="003123AE" w:rsidRPr="00424050">
        <w:t>παίδων</w:t>
      </w:r>
      <w:r w:rsidR="003A5573" w:rsidRPr="00424050">
        <w:t xml:space="preserve"> </w:t>
      </w:r>
      <w:r w:rsidR="003123AE" w:rsidRPr="00424050">
        <w:t>καὶ</w:t>
      </w:r>
      <w:r w:rsidR="003A5573" w:rsidRPr="00424050">
        <w:t xml:space="preserve"> </w:t>
      </w:r>
      <w:r w:rsidR="003123AE" w:rsidRPr="00424050">
        <w:t>γυναικῶν</w:t>
      </w:r>
      <w:r w:rsidR="003A5573" w:rsidRPr="00424050">
        <w:t xml:space="preserve"> </w:t>
      </w:r>
      <w:r w:rsidR="003123AE" w:rsidRPr="00424050">
        <w:t>καὶ</w:t>
      </w:r>
      <w:r w:rsidR="003A5573" w:rsidRPr="00424050">
        <w:t xml:space="preserve"> </w:t>
      </w:r>
      <w:r w:rsidR="003123AE" w:rsidRPr="00424050">
        <w:t>τῶν ἐν τῆι χώραι πάντων</w:t>
      </w:r>
      <w:r w:rsidR="003123AE" w:rsidRPr="00424050">
        <w:rPr>
          <w:rStyle w:val="Rimandonotaapidipagina"/>
        </w:rPr>
        <w:footnoteReference w:id="66"/>
      </w:r>
      <w:r w:rsidR="00384BB4" w:rsidRPr="00424050">
        <w:t xml:space="preserve">. </w:t>
      </w:r>
      <w:r w:rsidR="00A46F07" w:rsidRPr="00424050">
        <w:t>Straordinariamente, v</w:t>
      </w:r>
      <w:r w:rsidR="004A0DCB" w:rsidRPr="00424050">
        <w:t>eniva</w:t>
      </w:r>
      <w:r w:rsidR="00384BB4" w:rsidRPr="00424050">
        <w:t xml:space="preserve"> incoronato un dio</w:t>
      </w:r>
      <w:r w:rsidR="0082021E" w:rsidRPr="00424050">
        <w:t xml:space="preserve">, </w:t>
      </w:r>
      <w:r w:rsidR="00D604FD" w:rsidRPr="00424050">
        <w:t>e</w:t>
      </w:r>
      <w:r w:rsidR="00384BB4" w:rsidRPr="00424050">
        <w:t xml:space="preserve"> questo avveniva secondo modalità che </w:t>
      </w:r>
      <w:r w:rsidR="001D09F0" w:rsidRPr="00424050">
        <w:t>Atene aveva</w:t>
      </w:r>
      <w:r w:rsidR="00384BB4" w:rsidRPr="00424050">
        <w:t xml:space="preserve"> codificato per gli evergeti stranieri, evidenziando il ruolo </w:t>
      </w:r>
      <w:r w:rsidR="004A0DCB" w:rsidRPr="00424050">
        <w:t xml:space="preserve">di </w:t>
      </w:r>
      <w:r w:rsidR="00614CD2" w:rsidRPr="00424050">
        <w:t>benefattore</w:t>
      </w:r>
      <w:r w:rsidR="004A0DCB" w:rsidRPr="00424050">
        <w:t xml:space="preserve">, ma pur sempre alieno alla tradizione ateniese, </w:t>
      </w:r>
      <w:r w:rsidR="00384BB4" w:rsidRPr="00424050">
        <w:t>riservato al medico divino</w:t>
      </w:r>
      <w:r w:rsidR="004A0DCB" w:rsidRPr="00424050">
        <w:rPr>
          <w:rStyle w:val="Rimandonotaapidipagina"/>
        </w:rPr>
        <w:footnoteReference w:id="67"/>
      </w:r>
      <w:r w:rsidR="001D09F0" w:rsidRPr="00424050">
        <w:t>.</w:t>
      </w:r>
      <w:r w:rsidR="001C275A" w:rsidRPr="00424050">
        <w:t xml:space="preserve"> </w:t>
      </w:r>
      <w:r w:rsidR="0082021E" w:rsidRPr="00424050">
        <w:t xml:space="preserve">La formula, nel 1998, aveva già </w:t>
      </w:r>
      <w:r w:rsidR="001C275A" w:rsidRPr="00424050">
        <w:t xml:space="preserve">suscitato </w:t>
      </w:r>
      <w:r w:rsidR="0082021E" w:rsidRPr="00424050">
        <w:t>l’interesse di</w:t>
      </w:r>
      <w:r w:rsidR="00E769DB" w:rsidRPr="00424050">
        <w:t xml:space="preserve"> J.D. Mikalson, che annotava</w:t>
      </w:r>
      <w:r w:rsidRPr="00424050">
        <w:t>:</w:t>
      </w:r>
    </w:p>
    <w:p w14:paraId="1437B5B5" w14:textId="64CA21BE" w:rsidR="00385FFB" w:rsidRPr="00424050" w:rsidRDefault="00A46F07" w:rsidP="00385FFB">
      <w:pPr>
        <w:pStyle w:val="Citazioni"/>
        <w:rPr>
          <w:lang w:val="en-US"/>
        </w:rPr>
      </w:pPr>
      <w:r w:rsidRPr="00424050">
        <w:rPr>
          <w:lang w:val="en-US"/>
        </w:rPr>
        <w:lastRenderedPageBreak/>
        <w:t>i</w:t>
      </w:r>
      <w:r w:rsidR="008A40F4" w:rsidRPr="00424050">
        <w:rPr>
          <w:lang w:val="en-US"/>
        </w:rPr>
        <w:t>n the phrase “for the health and safety” I see a sign of a changed religious outlook, one whose concern is now becoming defensive, perhaps even pessimistic in contrast to the higher expectations and optimism of the fifth century.</w:t>
      </w:r>
      <w:r w:rsidR="0082021E" w:rsidRPr="00424050">
        <w:rPr>
          <w:lang w:val="en-US"/>
        </w:rPr>
        <w:t xml:space="preserve"> </w:t>
      </w:r>
      <w:r w:rsidR="00385FFB" w:rsidRPr="00424050">
        <w:rPr>
          <w:lang w:val="en-US"/>
        </w:rPr>
        <w:t>(...)</w:t>
      </w:r>
      <w:r w:rsidR="008A40F4" w:rsidRPr="00424050">
        <w:rPr>
          <w:lang w:val="en-US"/>
        </w:rPr>
        <w:t xml:space="preserve"> “For health and safety” soon becomes formulaic in state decrees treating sacrifices and other religious matters, and various types of gods promising these come to the fore</w:t>
      </w:r>
      <w:r w:rsidR="00E769DB" w:rsidRPr="00424050">
        <w:rPr>
          <w:rStyle w:val="Rimandonotaapidipagina"/>
          <w:lang w:val="en-US"/>
        </w:rPr>
        <w:footnoteReference w:id="68"/>
      </w:r>
      <w:r w:rsidR="00E769DB" w:rsidRPr="00424050">
        <w:rPr>
          <w:lang w:val="en-US"/>
        </w:rPr>
        <w:t>.</w:t>
      </w:r>
    </w:p>
    <w:p w14:paraId="66321F6D" w14:textId="6E549E1B" w:rsidR="00520B42" w:rsidRPr="00424050" w:rsidRDefault="00424050" w:rsidP="00385FFB">
      <w:pPr>
        <w:autoSpaceDE w:val="0"/>
        <w:autoSpaceDN w:val="0"/>
        <w:adjustRightInd w:val="0"/>
        <w:jc w:val="both"/>
      </w:pPr>
      <w:r>
        <w:tab/>
      </w:r>
      <w:r w:rsidR="0082021E" w:rsidRPr="00424050">
        <w:t xml:space="preserve">Medesimi toni si ritrovano nelle considerazioni di G. Camassa, che </w:t>
      </w:r>
      <w:r w:rsidR="00A46F07" w:rsidRPr="00424050">
        <w:t>in questa formula</w:t>
      </w:r>
      <w:r w:rsidR="0082021E" w:rsidRPr="00424050">
        <w:t xml:space="preserve"> riconosce </w:t>
      </w:r>
      <w:r w:rsidR="00021990" w:rsidRPr="00424050">
        <w:t>la</w:t>
      </w:r>
      <w:r w:rsidR="0082021E" w:rsidRPr="00424050">
        <w:t xml:space="preserve"> spia del nuovo sentire religioso</w:t>
      </w:r>
      <w:r w:rsidR="008C7777" w:rsidRPr="00424050">
        <w:t>, quando «la polis non basta più</w:t>
      </w:r>
      <w:r w:rsidR="00DA2FEB" w:rsidRPr="00424050">
        <w:t xml:space="preserve"> a sé stessa, afferma la propria dipendenza incondizionata dalle scelte di un uomo che attinge uno statuto sovrumano: essa gli deve la propria esistenza e pertanto lo riconosce come </w:t>
      </w:r>
      <w:r w:rsidR="00DA2FEB" w:rsidRPr="00424050">
        <w:rPr>
          <w:i/>
          <w:iCs/>
        </w:rPr>
        <w:t>soter</w:t>
      </w:r>
      <w:r w:rsidR="008C7777" w:rsidRPr="00424050">
        <w:t>»</w:t>
      </w:r>
      <w:r w:rsidR="008C7777" w:rsidRPr="00424050">
        <w:rPr>
          <w:rStyle w:val="Rimandonotaapidipagina"/>
        </w:rPr>
        <w:footnoteReference w:id="69"/>
      </w:r>
      <w:r w:rsidR="00DA2FEB" w:rsidRPr="00424050">
        <w:t>. A queste riflessioni</w:t>
      </w:r>
      <w:r w:rsidR="00DA2FEB" w:rsidRPr="00E34779">
        <w:t xml:space="preserve"> è </w:t>
      </w:r>
      <w:r w:rsidR="00E34779" w:rsidRPr="00E34779">
        <w:t>possibile</w:t>
      </w:r>
      <w:r w:rsidR="00DA2FEB" w:rsidRPr="00E34779">
        <w:t xml:space="preserve"> tuttavia</w:t>
      </w:r>
      <w:r w:rsidR="00DA2FEB" w:rsidRPr="00424050">
        <w:t xml:space="preserve"> aggiungere alcun</w:t>
      </w:r>
      <w:r w:rsidR="00B24E64" w:rsidRPr="00424050">
        <w:t xml:space="preserve">i </w:t>
      </w:r>
      <w:r w:rsidR="00614CD2" w:rsidRPr="00424050">
        <w:t>dati</w:t>
      </w:r>
      <w:r w:rsidR="00DA2FEB" w:rsidRPr="00424050">
        <w:t>.</w:t>
      </w:r>
      <w:r w:rsidR="00B24E64" w:rsidRPr="00424050">
        <w:t xml:space="preserve"> </w:t>
      </w:r>
      <w:r w:rsidR="00DA2FEB" w:rsidRPr="00424050">
        <w:rPr>
          <w:i/>
          <w:iCs/>
        </w:rPr>
        <w:t>IG</w:t>
      </w:r>
      <w:r w:rsidR="00DA2FEB" w:rsidRPr="00424050">
        <w:t xml:space="preserve"> II</w:t>
      </w:r>
      <w:r w:rsidR="00DA2FEB" w:rsidRPr="00424050">
        <w:rPr>
          <w:vertAlign w:val="superscript"/>
        </w:rPr>
        <w:t>3</w:t>
      </w:r>
      <w:r w:rsidR="00DA2FEB" w:rsidRPr="00424050">
        <w:t xml:space="preserve"> 306 </w:t>
      </w:r>
      <w:r w:rsidR="00A46F07" w:rsidRPr="00424050">
        <w:t xml:space="preserve">presenta </w:t>
      </w:r>
      <w:r w:rsidR="00B24E64" w:rsidRPr="00424050">
        <w:t>una formula nel suo enunciato</w:t>
      </w:r>
      <w:r w:rsidR="00D604FD" w:rsidRPr="00424050">
        <w:t xml:space="preserve"> </w:t>
      </w:r>
      <w:r w:rsidR="00B24E64" w:rsidRPr="00424050">
        <w:t xml:space="preserve">essenziale, </w:t>
      </w:r>
      <w:r w:rsidR="00021990" w:rsidRPr="00424050">
        <w:t xml:space="preserve">per poi assumere, </w:t>
      </w:r>
      <w:r w:rsidR="00B24E64" w:rsidRPr="00424050">
        <w:t>sempre con Fanodemo</w:t>
      </w:r>
      <w:r w:rsidR="00021990" w:rsidRPr="00424050">
        <w:t>, nel 332</w:t>
      </w:r>
      <w:r w:rsidR="00E66F6F" w:rsidRPr="00424050">
        <w:t>,</w:t>
      </w:r>
      <w:r w:rsidR="00021990" w:rsidRPr="00424050">
        <w:t xml:space="preserve"> </w:t>
      </w:r>
      <w:r w:rsidR="00B24E64" w:rsidRPr="00424050">
        <w:t>una struttura complessa e carica di significati</w:t>
      </w:r>
      <w:r w:rsidR="00E66F6F" w:rsidRPr="00424050">
        <w:t xml:space="preserve"> nell’iscrizione oropia</w:t>
      </w:r>
      <w:r w:rsidR="00B24E64" w:rsidRPr="00424050">
        <w:t xml:space="preserve">: si opera infatti “per la salute e la salvezza del demo di Atene e dei bambini e delle donne e di tutto ciò che è nella chora”. </w:t>
      </w:r>
      <w:r w:rsidR="00815336" w:rsidRPr="00424050">
        <w:t>Coevo, se non antecedente</w:t>
      </w:r>
      <w:r w:rsidR="00D604FD" w:rsidRPr="00424050">
        <w:t>,</w:t>
      </w:r>
      <w:r w:rsidR="00815336" w:rsidRPr="00424050">
        <w:t xml:space="preserve"> </w:t>
      </w:r>
      <w:r w:rsidR="00B24E64" w:rsidRPr="00424050">
        <w:t xml:space="preserve">è </w:t>
      </w:r>
      <w:r w:rsidR="00815336" w:rsidRPr="00424050">
        <w:t>il</w:t>
      </w:r>
      <w:r w:rsidR="00B24E64" w:rsidRPr="00424050">
        <w:t xml:space="preserve"> decreto onorifico </w:t>
      </w:r>
      <w:r w:rsidR="00815336" w:rsidRPr="00424050">
        <w:t xml:space="preserve">per sacerdoti e </w:t>
      </w:r>
      <w:r w:rsidR="00815336" w:rsidRPr="00424050">
        <w:rPr>
          <w:i/>
          <w:iCs/>
        </w:rPr>
        <w:t>hieropoioi</w:t>
      </w:r>
      <w:r w:rsidR="00815336" w:rsidRPr="00424050">
        <w:t xml:space="preserve"> in </w:t>
      </w:r>
      <w:r w:rsidR="00B24E64" w:rsidRPr="00424050">
        <w:rPr>
          <w:i/>
          <w:iCs/>
        </w:rPr>
        <w:t>IG</w:t>
      </w:r>
      <w:r w:rsidR="00B24E64" w:rsidRPr="00424050">
        <w:t xml:space="preserve"> II</w:t>
      </w:r>
      <w:r w:rsidR="00B24E64" w:rsidRPr="00424050">
        <w:rPr>
          <w:vertAlign w:val="superscript"/>
        </w:rPr>
        <w:t>2</w:t>
      </w:r>
      <w:r w:rsidR="00B24E64" w:rsidRPr="00424050">
        <w:t xml:space="preserve"> 410, che Lambert è incline a riconoscere come la prima iscrizione </w:t>
      </w:r>
      <w:r w:rsidR="00815336" w:rsidRPr="00424050">
        <w:t>e</w:t>
      </w:r>
      <w:r w:rsidR="00B24E64" w:rsidRPr="00424050">
        <w:t xml:space="preserve">llenistica della Polis, </w:t>
      </w:r>
      <w:r w:rsidR="00815336" w:rsidRPr="00424050">
        <w:t>posizionandola cronologicamente all’indomani di Cheronea</w:t>
      </w:r>
      <w:r w:rsidR="00D604FD" w:rsidRPr="00424050">
        <w:rPr>
          <w:rStyle w:val="Rimandonotaapidipagina"/>
        </w:rPr>
        <w:footnoteReference w:id="70"/>
      </w:r>
      <w:r w:rsidR="00815336" w:rsidRPr="00424050">
        <w:t>,</w:t>
      </w:r>
      <w:r w:rsidR="00B24E64" w:rsidRPr="00424050">
        <w:t xml:space="preserve"> dove la formula viene riproposta, con una leggera variante, alle ll. 14-16: ἐφ’ ὑγιείαι καὶ σωτηρίαι τῆς βουλῆς καὶ τοῦ δήμου το</w:t>
      </w:r>
      <w:r w:rsidR="00760A62" w:rsidRPr="00424050">
        <w:t xml:space="preserve"> </w:t>
      </w:r>
      <w:r w:rsidR="00B24E64" w:rsidRPr="00424050">
        <w:t>Ἀθηναίων καὶ παίδων καὶ γυναικῶν καὶ τῶν ἄλλων κτημάτων τῶν Ἀθηναίων</w:t>
      </w:r>
      <w:r w:rsidR="00815336" w:rsidRPr="00424050">
        <w:t xml:space="preserve">. </w:t>
      </w:r>
      <w:r w:rsidR="00614CD2" w:rsidRPr="00424050">
        <w:t>L’enunciato di base rimane e rimarrà costante, mentre a</w:t>
      </w:r>
      <w:r w:rsidR="00B24E64" w:rsidRPr="00424050">
        <w:t xml:space="preserve">mici, collegati, sovrani si </w:t>
      </w:r>
      <w:r w:rsidR="00B24E64" w:rsidRPr="00424050">
        <w:lastRenderedPageBreak/>
        <w:t>aggiung</w:t>
      </w:r>
      <w:r w:rsidR="00760A62" w:rsidRPr="00424050">
        <w:t>eranno</w:t>
      </w:r>
      <w:r w:rsidR="00B24E64" w:rsidRPr="00424050">
        <w:t xml:space="preserve"> di volta in volta ai bambini e alle donne nel corso della lunga storia di questa formula </w:t>
      </w:r>
      <w:r w:rsidR="00760A62" w:rsidRPr="00424050">
        <w:t xml:space="preserve">costituita da </w:t>
      </w:r>
      <w:r w:rsidR="00B24E64" w:rsidRPr="00424050">
        <w:t xml:space="preserve">circa 80 iscrizioni, che non vanno oltre il I secolo, tutte concentrate in Attica, fatta eccezione per uno sparuto numero di documenti in </w:t>
      </w:r>
      <w:r w:rsidR="00760A62" w:rsidRPr="00424050">
        <w:t>ambiente cicladico e asiatico</w:t>
      </w:r>
      <w:r w:rsidR="00B24E64" w:rsidRPr="00424050">
        <w:t>.</w:t>
      </w:r>
      <w:r w:rsidR="00760A62" w:rsidRPr="00424050">
        <w:t xml:space="preserve"> </w:t>
      </w:r>
      <w:r w:rsidR="00614CD2" w:rsidRPr="00424050">
        <w:t xml:space="preserve">Del nuovo sentire dell’uomo greco, assieme al senso di precarietà determinato dalla congerie </w:t>
      </w:r>
      <w:r w:rsidR="00D604FD" w:rsidRPr="00424050">
        <w:t xml:space="preserve">di eventi </w:t>
      </w:r>
      <w:r w:rsidR="00614CD2" w:rsidRPr="00424050">
        <w:t>politic</w:t>
      </w:r>
      <w:r w:rsidR="00D604FD" w:rsidRPr="00424050">
        <w:t>i della seconda metà del IV secolo</w:t>
      </w:r>
      <w:r w:rsidR="00614CD2" w:rsidRPr="00424050">
        <w:t xml:space="preserve">, </w:t>
      </w:r>
      <w:r w:rsidR="00D604FD" w:rsidRPr="00424050">
        <w:t>si trova traccia</w:t>
      </w:r>
      <w:r w:rsidR="00614CD2" w:rsidRPr="00424050">
        <w:t xml:space="preserve"> nella formula che Fanodemo sceglie per Oropos</w:t>
      </w:r>
      <w:r w:rsidR="00D604FD" w:rsidRPr="00424050">
        <w:t>, dove, nell’ufficialità d</w:t>
      </w:r>
      <w:r w:rsidR="00520B42" w:rsidRPr="00424050">
        <w:t>ei decreti</w:t>
      </w:r>
      <w:r w:rsidR="00D604FD" w:rsidRPr="00424050">
        <w:t>, compaiono le</w:t>
      </w:r>
      <w:r w:rsidR="00C262D7" w:rsidRPr="00424050">
        <w:t xml:space="preserve"> </w:t>
      </w:r>
      <w:r w:rsidR="00520B42" w:rsidRPr="00424050">
        <w:t xml:space="preserve">donne, da intendersi quali segmenti portanti della società </w:t>
      </w:r>
      <w:r w:rsidR="00C262D7" w:rsidRPr="00424050">
        <w:t>a</w:t>
      </w:r>
      <w:r w:rsidR="00520B42" w:rsidRPr="00424050">
        <w:t>teniese</w:t>
      </w:r>
      <w:r w:rsidR="00B111F1" w:rsidRPr="00424050">
        <w:t>, assieme ai bambini, i giovani virgulti della città</w:t>
      </w:r>
      <w:r w:rsidR="00520B42" w:rsidRPr="00424050">
        <w:t>. Le donne onorate ufficialmente dalla polis ci sono e, non a caso, compaiono solo a partire dal IV secolo</w:t>
      </w:r>
      <w:r w:rsidR="00D97B58" w:rsidRPr="00424050">
        <w:rPr>
          <w:rStyle w:val="Rimandonotaapidipagina"/>
        </w:rPr>
        <w:footnoteReference w:id="71"/>
      </w:r>
      <w:r w:rsidR="00520B42" w:rsidRPr="00424050">
        <w:t>: del secondo quarto del secolo è infatti il decreto onorario di Pitodoro, associato a sua sorella e a suo nipote (</w:t>
      </w:r>
      <w:r w:rsidR="00520B42" w:rsidRPr="00424050">
        <w:rPr>
          <w:i/>
          <w:iCs/>
        </w:rPr>
        <w:t xml:space="preserve">ID </w:t>
      </w:r>
      <w:r w:rsidR="00520B42" w:rsidRPr="00424050">
        <w:t>88)</w:t>
      </w:r>
      <w:r w:rsidR="00520B42" w:rsidRPr="00424050">
        <w:rPr>
          <w:rStyle w:val="Rimandonotaapidipagina"/>
        </w:rPr>
        <w:footnoteReference w:id="72"/>
      </w:r>
      <w:r w:rsidR="00520B42" w:rsidRPr="00424050">
        <w:t xml:space="preserve">, in </w:t>
      </w:r>
      <w:r w:rsidR="00520B42" w:rsidRPr="00424050">
        <w:rPr>
          <w:i/>
          <w:iCs/>
        </w:rPr>
        <w:t xml:space="preserve">IG </w:t>
      </w:r>
      <w:r w:rsidR="00520B42" w:rsidRPr="00424050">
        <w:t>II</w:t>
      </w:r>
      <w:r w:rsidR="00520B42" w:rsidRPr="00424050">
        <w:rPr>
          <w:vertAlign w:val="superscript"/>
        </w:rPr>
        <w:t>2</w:t>
      </w:r>
      <w:r w:rsidR="00520B42" w:rsidRPr="00424050">
        <w:t xml:space="preserve"> 1199 della fine del IV viene onorata con una corona una sacerdotessa</w:t>
      </w:r>
      <w:r w:rsidR="00520B42" w:rsidRPr="00424050">
        <w:rPr>
          <w:rStyle w:val="Rimandonotaapidipagina"/>
        </w:rPr>
        <w:footnoteReference w:id="73"/>
      </w:r>
      <w:r w:rsidR="00712174" w:rsidRPr="00424050">
        <w:t>;</w:t>
      </w:r>
      <w:r w:rsidR="00520B42" w:rsidRPr="00424050">
        <w:t xml:space="preserve"> </w:t>
      </w:r>
      <w:r w:rsidR="00712174" w:rsidRPr="00424050">
        <w:t>s</w:t>
      </w:r>
      <w:r w:rsidR="00520B42" w:rsidRPr="00424050">
        <w:t xml:space="preserve">empre alla fine del secolo </w:t>
      </w:r>
      <w:r w:rsidR="00B111F1" w:rsidRPr="00424050">
        <w:t>sono attestati onori</w:t>
      </w:r>
      <w:r w:rsidR="00520B42" w:rsidRPr="00424050">
        <w:t xml:space="preserve"> concessi alla moglie di un certo </w:t>
      </w:r>
      <w:r w:rsidR="00B111F1" w:rsidRPr="00424050">
        <w:t>O</w:t>
      </w:r>
      <w:r w:rsidR="00520B42" w:rsidRPr="00424050">
        <w:t>limpiodoro, cui venne conferita una corona vegetale e l’onorificenza incisa su pietra a cura degli arconti (</w:t>
      </w:r>
      <w:r w:rsidR="00520B42" w:rsidRPr="00424050">
        <w:rPr>
          <w:i/>
          <w:iCs/>
        </w:rPr>
        <w:t xml:space="preserve">Agora </w:t>
      </w:r>
      <w:r w:rsidR="00520B42" w:rsidRPr="00424050">
        <w:t xml:space="preserve">XVI 153). </w:t>
      </w:r>
      <w:r w:rsidR="00B111F1" w:rsidRPr="00424050">
        <w:t xml:space="preserve">Alla donna viene </w:t>
      </w:r>
      <w:r w:rsidR="00A21285" w:rsidRPr="00424050">
        <w:t xml:space="preserve">ora </w:t>
      </w:r>
      <w:r w:rsidR="00B111F1" w:rsidRPr="00424050">
        <w:t xml:space="preserve">riconosciuta la sua parte di aretè, la sua eccellenza operativa </w:t>
      </w:r>
      <w:r w:rsidR="00A21285" w:rsidRPr="00424050">
        <w:t>- e</w:t>
      </w:r>
      <w:r w:rsidR="00B111F1" w:rsidRPr="00424050">
        <w:t xml:space="preserve"> </w:t>
      </w:r>
      <w:r w:rsidR="00B111F1" w:rsidRPr="00424050">
        <w:rPr>
          <w:i/>
          <w:iCs/>
        </w:rPr>
        <w:t>dikaiosyne</w:t>
      </w:r>
      <w:r w:rsidR="00A21285" w:rsidRPr="00424050">
        <w:t xml:space="preserve">, la capacità di svolgere </w:t>
      </w:r>
      <w:r w:rsidR="00B111F1" w:rsidRPr="00424050">
        <w:t xml:space="preserve">la sua vita praticando sophrosyne </w:t>
      </w:r>
      <w:r w:rsidR="00B111F1" w:rsidRPr="00424050">
        <w:lastRenderedPageBreak/>
        <w:t xml:space="preserve">nell’amore e nel rispetto della polis, </w:t>
      </w:r>
      <w:r w:rsidR="00A21285" w:rsidRPr="00424050">
        <w:t>giungendo a divenire</w:t>
      </w:r>
      <w:r w:rsidR="00712174" w:rsidRPr="00424050">
        <w:t xml:space="preserve">, finanche, </w:t>
      </w:r>
      <w:r w:rsidR="00B111F1" w:rsidRPr="00424050">
        <w:rPr>
          <w:i/>
          <w:iCs/>
        </w:rPr>
        <w:t>phos tou demou</w:t>
      </w:r>
      <w:r w:rsidR="00B111F1" w:rsidRPr="00424050">
        <w:rPr>
          <w:rStyle w:val="Rimandonotaapidipagina"/>
        </w:rPr>
        <w:footnoteReference w:id="74"/>
      </w:r>
    </w:p>
    <w:p w14:paraId="79EA6BD3" w14:textId="2D4C5C07" w:rsidR="00520B42" w:rsidRPr="00424050" w:rsidRDefault="00385FFB" w:rsidP="00385FFB">
      <w:pPr>
        <w:jc w:val="both"/>
      </w:pPr>
      <w:r w:rsidRPr="00424050">
        <w:tab/>
      </w:r>
      <w:r w:rsidR="00950843" w:rsidRPr="00424050">
        <w:t>Sempre in riferimento</w:t>
      </w:r>
      <w:r w:rsidR="00A21285" w:rsidRPr="00424050">
        <w:t xml:space="preserve"> alla formula</w:t>
      </w:r>
      <w:r w:rsidR="0046020C" w:rsidRPr="00424050">
        <w:t xml:space="preserve"> </w:t>
      </w:r>
      <w:r w:rsidR="00A76B03" w:rsidRPr="00424050">
        <w:t>associata a Fanodemo a Oropos,</w:t>
      </w:r>
      <w:r w:rsidR="0046020C" w:rsidRPr="00424050">
        <w:t xml:space="preserve"> dove </w:t>
      </w:r>
      <w:r w:rsidR="00950843" w:rsidRPr="00424050">
        <w:t>sono menzionati, assieme</w:t>
      </w:r>
      <w:r w:rsidR="0046020C" w:rsidRPr="00424050">
        <w:t xml:space="preserve"> a Bule e demo, donne e bambini e gli altri beni degli </w:t>
      </w:r>
      <w:r w:rsidR="00950843" w:rsidRPr="00424050">
        <w:t>A</w:t>
      </w:r>
      <w:r w:rsidR="0046020C" w:rsidRPr="00424050">
        <w:t xml:space="preserve">teniesi, si deve rilevare che nelle fonti letterarie </w:t>
      </w:r>
      <w:r w:rsidR="00950843" w:rsidRPr="00424050">
        <w:t>questa</w:t>
      </w:r>
      <w:r w:rsidR="0046020C" w:rsidRPr="00424050">
        <w:t xml:space="preserve"> </w:t>
      </w:r>
      <w:r w:rsidR="00520B42" w:rsidRPr="00424050">
        <w:t xml:space="preserve">sembra </w:t>
      </w:r>
      <w:r w:rsidR="00950843" w:rsidRPr="00424050">
        <w:t>ri</w:t>
      </w:r>
      <w:r w:rsidR="00520B42" w:rsidRPr="00424050">
        <w:t>echeggiare</w:t>
      </w:r>
      <w:r w:rsidR="0046020C" w:rsidRPr="00424050">
        <w:t>, significativamente,</w:t>
      </w:r>
      <w:r w:rsidR="00520B42" w:rsidRPr="00424050">
        <w:t xml:space="preserve"> nel </w:t>
      </w:r>
      <w:r w:rsidR="00520B42" w:rsidRPr="00424050">
        <w:rPr>
          <w:i/>
          <w:iCs/>
        </w:rPr>
        <w:t>Contro Leocrate</w:t>
      </w:r>
      <w:r w:rsidR="00520B42" w:rsidRPr="00424050">
        <w:t xml:space="preserve"> di Licurgo</w:t>
      </w:r>
      <w:r w:rsidR="00FD25BF" w:rsidRPr="00424050">
        <w:rPr>
          <w:rStyle w:val="Rimandonotaapidipagina"/>
        </w:rPr>
        <w:footnoteReference w:id="75"/>
      </w:r>
      <w:r w:rsidR="007B4B4D" w:rsidRPr="00424050">
        <w:t xml:space="preserve"> e</w:t>
      </w:r>
      <w:r w:rsidR="00520B42" w:rsidRPr="00424050">
        <w:t xml:space="preserve"> in almeno due orazioni di Dinarco</w:t>
      </w:r>
      <w:r w:rsidR="0046020C" w:rsidRPr="00424050">
        <w:rPr>
          <w:rStyle w:val="Rimandonotaapidipagina"/>
        </w:rPr>
        <w:footnoteReference w:id="76"/>
      </w:r>
      <w:r w:rsidR="007B4B4D" w:rsidRPr="00424050">
        <w:t xml:space="preserve">: tutto </w:t>
      </w:r>
      <w:r w:rsidR="002F7C2E" w:rsidRPr="00424050">
        <w:t>suggerir</w:t>
      </w:r>
      <w:r w:rsidR="004A4968" w:rsidRPr="00424050">
        <w:t>ebbe</w:t>
      </w:r>
      <w:r w:rsidR="00172E70" w:rsidRPr="00424050">
        <w:t>, dunque,</w:t>
      </w:r>
      <w:r w:rsidR="004A4968" w:rsidRPr="00424050">
        <w:t xml:space="preserve"> di ascrivern</w:t>
      </w:r>
      <w:r w:rsidR="002F7C2E" w:rsidRPr="00424050">
        <w:t xml:space="preserve">e </w:t>
      </w:r>
      <w:r w:rsidR="002910A5" w:rsidRPr="00424050">
        <w:t xml:space="preserve">la nascita </w:t>
      </w:r>
      <w:r w:rsidR="007B4B4D" w:rsidRPr="00424050">
        <w:t>alla seconda metà del secolo</w:t>
      </w:r>
      <w:r w:rsidR="002910A5" w:rsidRPr="00424050">
        <w:t xml:space="preserve">, </w:t>
      </w:r>
      <w:r w:rsidR="00BD6754" w:rsidRPr="00424050">
        <w:t xml:space="preserve">dopo Cheronea, </w:t>
      </w:r>
      <w:r w:rsidR="002F7C2E" w:rsidRPr="00424050">
        <w:t>in ambiente licurg</w:t>
      </w:r>
      <w:r w:rsidR="004A4968" w:rsidRPr="00424050">
        <w:t>h</w:t>
      </w:r>
      <w:r w:rsidR="002F7C2E" w:rsidRPr="00424050">
        <w:t>eo</w:t>
      </w:r>
      <w:r w:rsidR="004A4968" w:rsidRPr="00424050">
        <w:rPr>
          <w:rStyle w:val="Rimandonotaapidipagina"/>
        </w:rPr>
        <w:footnoteReference w:id="77"/>
      </w:r>
      <w:r w:rsidR="00480E56" w:rsidRPr="00424050">
        <w:t>.</w:t>
      </w:r>
      <w:r w:rsidR="007B4B4D" w:rsidRPr="00424050">
        <w:t xml:space="preserve"> </w:t>
      </w:r>
      <w:r w:rsidR="00480E56" w:rsidRPr="00424050">
        <w:t xml:space="preserve">È </w:t>
      </w:r>
      <w:r w:rsidR="00524F57" w:rsidRPr="00424050">
        <w:t>indispensabile</w:t>
      </w:r>
      <w:r w:rsidR="00480E56" w:rsidRPr="00424050">
        <w:t xml:space="preserve">, tuttavia, </w:t>
      </w:r>
      <w:r w:rsidR="00524F57" w:rsidRPr="00424050">
        <w:t xml:space="preserve">registrare </w:t>
      </w:r>
      <w:r w:rsidR="002F7C2E" w:rsidRPr="00424050">
        <w:t xml:space="preserve">che </w:t>
      </w:r>
      <w:r w:rsidR="007B4B4D" w:rsidRPr="00424050">
        <w:t xml:space="preserve">negli </w:t>
      </w:r>
      <w:r w:rsidR="002910A5" w:rsidRPr="00424050">
        <w:rPr>
          <w:i/>
          <w:iCs/>
        </w:rPr>
        <w:t xml:space="preserve">Uccelli </w:t>
      </w:r>
      <w:r w:rsidR="002910A5" w:rsidRPr="00424050">
        <w:t xml:space="preserve">di Aristofane </w:t>
      </w:r>
      <w:r w:rsidR="004A4968" w:rsidRPr="00424050">
        <w:t>(</w:t>
      </w:r>
      <w:r w:rsidR="00524F57" w:rsidRPr="00424050">
        <w:t xml:space="preserve">in scena nelle Grandi Dionisie del </w:t>
      </w:r>
      <w:r w:rsidR="004A4968" w:rsidRPr="00424050">
        <w:t xml:space="preserve">414) </w:t>
      </w:r>
      <w:r w:rsidR="002910A5" w:rsidRPr="00424050">
        <w:t>troviamo un richiamo inequivocabile</w:t>
      </w:r>
      <w:r w:rsidR="007B4B4D" w:rsidRPr="00424050">
        <w:t xml:space="preserve"> </w:t>
      </w:r>
      <w:r w:rsidR="002910A5" w:rsidRPr="00424050">
        <w:t>alla nostra formula. A</w:t>
      </w:r>
      <w:r w:rsidR="00190E1D" w:rsidRPr="00424050">
        <w:t>i</w:t>
      </w:r>
      <w:r w:rsidR="00520B42" w:rsidRPr="00424050">
        <w:t xml:space="preserve"> v</w:t>
      </w:r>
      <w:r w:rsidR="00190E1D" w:rsidRPr="00424050">
        <w:t>v</w:t>
      </w:r>
      <w:r w:rsidR="002910A5" w:rsidRPr="00424050">
        <w:t>.</w:t>
      </w:r>
      <w:r w:rsidR="00520B42" w:rsidRPr="00424050">
        <w:t xml:space="preserve"> 87</w:t>
      </w:r>
      <w:r w:rsidR="00190E1D" w:rsidRPr="00424050">
        <w:t>7-881</w:t>
      </w:r>
      <w:r w:rsidR="002910A5" w:rsidRPr="00424050">
        <w:t xml:space="preserve"> </w:t>
      </w:r>
      <w:r w:rsidR="002F7C2E" w:rsidRPr="00424050">
        <w:t xml:space="preserve">vi è, infatti, </w:t>
      </w:r>
      <w:r w:rsidR="00520B42" w:rsidRPr="00424050">
        <w:t>un invito a pregare gli dei di concede salute e sicurezza ai cittadini di Nubicuculia (e della collegata, Chio), ai suoi eroi e ai figli degli eroi</w:t>
      </w:r>
      <w:r w:rsidR="00EA31FB" w:rsidRPr="00424050">
        <w:rPr>
          <w:rStyle w:val="Rimandonotaapidipagina"/>
        </w:rPr>
        <w:footnoteReference w:id="78"/>
      </w:r>
      <w:r w:rsidR="00520B42" w:rsidRPr="00424050">
        <w:t>. Il riferimento ad un decreto</w:t>
      </w:r>
      <w:r w:rsidR="002910A5" w:rsidRPr="00424050">
        <w:t xml:space="preserve">, </w:t>
      </w:r>
      <w:r w:rsidR="00520B42" w:rsidRPr="00424050">
        <w:t xml:space="preserve">che doveva esser </w:t>
      </w:r>
      <w:r w:rsidR="002F7C2E" w:rsidRPr="00424050">
        <w:t>ben noto al</w:t>
      </w:r>
      <w:r w:rsidR="003F5810" w:rsidRPr="00424050">
        <w:t xml:space="preserve"> </w:t>
      </w:r>
      <w:r w:rsidR="00520B42" w:rsidRPr="00424050">
        <w:t>pubblico di Aristofane, è chiar</w:t>
      </w:r>
      <w:r w:rsidR="003F5810" w:rsidRPr="00424050">
        <w:t>issim</w:t>
      </w:r>
      <w:r w:rsidR="00520B42" w:rsidRPr="00424050">
        <w:t xml:space="preserve">o, tanto più che il </w:t>
      </w:r>
      <w:r w:rsidR="003F5810" w:rsidRPr="00424050">
        <w:t xml:space="preserve">rimando è suggerito anche dalla resa </w:t>
      </w:r>
      <w:r w:rsidR="00520B42" w:rsidRPr="00424050">
        <w:t>in prosa</w:t>
      </w:r>
      <w:r w:rsidR="003F5810" w:rsidRPr="00424050">
        <w:t xml:space="preserve"> del passo</w:t>
      </w:r>
      <w:r w:rsidR="00520B42" w:rsidRPr="00424050">
        <w:t xml:space="preserve">. Se ne deve concludere che tanto Aristofane quanto i politici </w:t>
      </w:r>
      <w:r w:rsidR="003F5810" w:rsidRPr="00424050">
        <w:t xml:space="preserve">- </w:t>
      </w:r>
      <w:r w:rsidR="00520B42" w:rsidRPr="00424050">
        <w:t xml:space="preserve">e ancor più i politici che </w:t>
      </w:r>
      <w:r w:rsidR="006049D3" w:rsidRPr="00424050">
        <w:t>furono</w:t>
      </w:r>
      <w:r w:rsidR="00520B42" w:rsidRPr="00424050">
        <w:t xml:space="preserve"> anche storici</w:t>
      </w:r>
      <w:r w:rsidR="003F5810" w:rsidRPr="00424050">
        <w:t xml:space="preserve"> -</w:t>
      </w:r>
      <w:r w:rsidR="00520B42" w:rsidRPr="00424050">
        <w:t xml:space="preserve"> di IV secolo seguirono un </w:t>
      </w:r>
      <w:r w:rsidR="00524F57" w:rsidRPr="00424050">
        <w:t>modello</w:t>
      </w:r>
      <w:r w:rsidR="003F5810" w:rsidRPr="00424050">
        <w:t xml:space="preserve"> o, forse sarebbe meglio dire, crearono un formulario</w:t>
      </w:r>
      <w:r w:rsidR="00520B42" w:rsidRPr="00424050">
        <w:t xml:space="preserve"> desu</w:t>
      </w:r>
      <w:r w:rsidR="003F5810" w:rsidRPr="00424050">
        <w:t>mendolo</w:t>
      </w:r>
      <w:r w:rsidR="00520B42" w:rsidRPr="00424050">
        <w:t xml:space="preserve"> </w:t>
      </w:r>
      <w:r w:rsidR="00520B42" w:rsidRPr="00424050">
        <w:lastRenderedPageBreak/>
        <w:t xml:space="preserve">da </w:t>
      </w:r>
      <w:r w:rsidR="006049D3" w:rsidRPr="00424050">
        <w:t xml:space="preserve">un </w:t>
      </w:r>
      <w:r w:rsidR="00520B42" w:rsidRPr="00424050">
        <w:t xml:space="preserve">modello </w:t>
      </w:r>
      <w:r w:rsidR="00E308D2" w:rsidRPr="00424050">
        <w:t>considerato fondamentale</w:t>
      </w:r>
      <w:r w:rsidR="00520B42" w:rsidRPr="00424050">
        <w:t xml:space="preserve"> </w:t>
      </w:r>
      <w:r w:rsidR="00E308D2" w:rsidRPr="00424050">
        <w:t>nella memoria storica di tutto il popolo di Atene</w:t>
      </w:r>
      <w:r w:rsidR="00520B42" w:rsidRPr="00424050">
        <w:t>.</w:t>
      </w:r>
      <w:r w:rsidR="00EC3D81" w:rsidRPr="00424050">
        <w:t xml:space="preserve"> </w:t>
      </w:r>
      <w:r w:rsidR="006072AD" w:rsidRPr="00424050">
        <w:t xml:space="preserve">Nella ricerca di questo </w:t>
      </w:r>
      <w:r w:rsidR="00AB7D2D" w:rsidRPr="00424050">
        <w:t>testo di ispirazione</w:t>
      </w:r>
      <w:r w:rsidR="006072AD" w:rsidRPr="00424050">
        <w:t xml:space="preserve"> </w:t>
      </w:r>
      <w:r w:rsidR="007C57F7" w:rsidRPr="00424050">
        <w:t>a suggerire dove volgere lo sguardo è Demostene</w:t>
      </w:r>
      <w:r w:rsidR="00172E70" w:rsidRPr="00424050">
        <w:t>,</w:t>
      </w:r>
      <w:r w:rsidR="007C57F7" w:rsidRPr="00424050">
        <w:t xml:space="preserve"> che in un’orazione del 343</w:t>
      </w:r>
      <w:r w:rsidR="005518F6" w:rsidRPr="00424050">
        <w:t xml:space="preserve">, </w:t>
      </w:r>
      <w:r w:rsidR="007C57F7" w:rsidRPr="00424050">
        <w:rPr>
          <w:i/>
          <w:iCs/>
        </w:rPr>
        <w:t>Sulla falsa ambasceria</w:t>
      </w:r>
      <w:r w:rsidR="007C57F7" w:rsidRPr="00424050">
        <w:rPr>
          <w:rStyle w:val="Rimandonotaapidipagina"/>
        </w:rPr>
        <w:footnoteReference w:id="79"/>
      </w:r>
      <w:r w:rsidR="005518F6" w:rsidRPr="00424050">
        <w:t>,</w:t>
      </w:r>
      <w:r w:rsidR="007C57F7" w:rsidRPr="00424050">
        <w:rPr>
          <w:i/>
          <w:iCs/>
        </w:rPr>
        <w:t xml:space="preserve"> </w:t>
      </w:r>
      <w:r w:rsidR="007C57F7" w:rsidRPr="00424050">
        <w:t xml:space="preserve">attaccava Eschine per aver portato in tribunale, qualche anno prima (348), gli </w:t>
      </w:r>
      <w:r w:rsidR="007C57F7" w:rsidRPr="00424050">
        <w:rPr>
          <w:i/>
          <w:iCs/>
        </w:rPr>
        <w:t>psephismata</w:t>
      </w:r>
      <w:r w:rsidR="007C57F7" w:rsidRPr="00424050">
        <w:t xml:space="preserve"> di Milziade, di Temistocle e il giuramento degli efebi</w:t>
      </w:r>
      <w:r w:rsidR="007C57F7" w:rsidRPr="00424050">
        <w:rPr>
          <w:rStyle w:val="Rimandonotaapidipagina"/>
        </w:rPr>
        <w:footnoteReference w:id="80"/>
      </w:r>
      <w:r w:rsidR="007C57F7" w:rsidRPr="00424050">
        <w:t>.</w:t>
      </w:r>
      <w:r w:rsidR="005518F6" w:rsidRPr="00424050">
        <w:t xml:space="preserve"> Nel </w:t>
      </w:r>
      <w:r w:rsidR="00EC3D81" w:rsidRPr="00424050">
        <w:t xml:space="preserve">decreto di Temistocle, </w:t>
      </w:r>
      <w:r w:rsidR="007669AF" w:rsidRPr="00424050">
        <w:t>cui accenna Erodoto</w:t>
      </w:r>
      <w:r w:rsidR="007669AF" w:rsidRPr="00424050">
        <w:rPr>
          <w:rStyle w:val="Rimandonotaapidipagina"/>
        </w:rPr>
        <w:footnoteReference w:id="81"/>
      </w:r>
      <w:r w:rsidR="007669AF" w:rsidRPr="00424050">
        <w:t xml:space="preserve"> e </w:t>
      </w:r>
      <w:r w:rsidR="00EC3D81" w:rsidRPr="00424050">
        <w:t xml:space="preserve">che possediamo </w:t>
      </w:r>
      <w:r w:rsidR="005518F6" w:rsidRPr="00424050">
        <w:t>in una</w:t>
      </w:r>
      <w:r w:rsidR="00EC3D81" w:rsidRPr="00424050">
        <w:t xml:space="preserve"> redazione trezenia</w:t>
      </w:r>
      <w:r w:rsidR="00480E56" w:rsidRPr="00424050">
        <w:t>,</w:t>
      </w:r>
      <w:r w:rsidR="00BB5FC8" w:rsidRPr="00424050">
        <w:t xml:space="preserve"> dalla datazione assai discussa</w:t>
      </w:r>
      <w:r w:rsidR="00AB7D2D" w:rsidRPr="00424050">
        <w:rPr>
          <w:rStyle w:val="Rimandonotaapidipagina"/>
        </w:rPr>
        <w:footnoteReference w:id="82"/>
      </w:r>
      <w:r w:rsidR="007669AF" w:rsidRPr="00424050">
        <w:t xml:space="preserve">, </w:t>
      </w:r>
      <w:r w:rsidR="00CB0758" w:rsidRPr="00424050">
        <w:t xml:space="preserve">venivano stabilite le modalità con cui doveva avvenire </w:t>
      </w:r>
      <w:r w:rsidR="00EA31FB" w:rsidRPr="00424050">
        <w:t>l’evacuazione di Atene di fronte all’avanzata persiana</w:t>
      </w:r>
      <w:r w:rsidR="00BB5FC8" w:rsidRPr="00424050">
        <w:t xml:space="preserve">. Apprendiamo così </w:t>
      </w:r>
      <w:r w:rsidR="00901520" w:rsidRPr="00424050">
        <w:t>che</w:t>
      </w:r>
      <w:r w:rsidR="00877D4C" w:rsidRPr="00424050">
        <w:t xml:space="preserve"> degli Ateniesi e degli stranieri residenti le donne e i bambini erano destinati a rifugiarsi a Trezene, mentre gli anziani e </w:t>
      </w:r>
      <w:r w:rsidR="00BB5FC8" w:rsidRPr="00424050">
        <w:t xml:space="preserve">i </w:t>
      </w:r>
      <w:r w:rsidR="00877D4C" w:rsidRPr="00424050">
        <w:t>beni mobili dovevano trovar riparo a Salamina</w:t>
      </w:r>
      <w:r w:rsidR="00826875" w:rsidRPr="00424050">
        <w:t xml:space="preserve">: </w:t>
      </w:r>
      <w:r w:rsidR="00826875" w:rsidRPr="00424050">
        <w:rPr>
          <w:noProof/>
        </w:rPr>
        <w:t>Ἀθηναίου[ς</w:t>
      </w:r>
      <w:r w:rsidR="00773F92" w:rsidRPr="00424050">
        <w:rPr>
          <w:noProof/>
        </w:rPr>
        <w:t xml:space="preserve"> </w:t>
      </w:r>
      <w:r w:rsidR="00826875" w:rsidRPr="00424050">
        <w:rPr>
          <w:noProof/>
        </w:rPr>
        <w:t>δὲ</w:t>
      </w:r>
      <w:r w:rsidR="00773F92" w:rsidRPr="00424050">
        <w:rPr>
          <w:noProof/>
        </w:rPr>
        <w:t xml:space="preserve"> </w:t>
      </w:r>
      <w:r w:rsidR="00826875" w:rsidRPr="00424050">
        <w:rPr>
          <w:noProof/>
        </w:rPr>
        <w:t>α]ὐτ[οὺς</w:t>
      </w:r>
      <w:r w:rsidR="00773F92" w:rsidRPr="00424050">
        <w:rPr>
          <w:noProof/>
        </w:rPr>
        <w:t xml:space="preserve"> </w:t>
      </w:r>
      <w:r w:rsidR="00826875" w:rsidRPr="00424050">
        <w:rPr>
          <w:noProof/>
        </w:rPr>
        <w:t>καὶ</w:t>
      </w:r>
      <w:r w:rsidR="00773F92" w:rsidRPr="00424050">
        <w:rPr>
          <w:noProof/>
        </w:rPr>
        <w:t xml:space="preserve"> </w:t>
      </w:r>
      <w:r w:rsidR="00826875" w:rsidRPr="00424050">
        <w:rPr>
          <w:noProof/>
        </w:rPr>
        <w:t>τοὺς</w:t>
      </w:r>
      <w:r w:rsidR="00773F92" w:rsidRPr="00424050">
        <w:rPr>
          <w:noProof/>
        </w:rPr>
        <w:t xml:space="preserve"> </w:t>
      </w:r>
      <w:r w:rsidR="00826875" w:rsidRPr="00424050">
        <w:rPr>
          <w:noProof/>
        </w:rPr>
        <w:t>ξένο]</w:t>
      </w:r>
      <w:r w:rsidR="00826875" w:rsidRPr="00424050">
        <w:rPr>
          <w:rFonts w:ascii="Garamond Premr Dot" w:hAnsi="Garamond Premr Dot"/>
          <w:noProof/>
        </w:rPr>
        <w:t>υ</w:t>
      </w:r>
      <w:r w:rsidR="00826875" w:rsidRPr="00424050">
        <w:rPr>
          <w:rFonts w:cs="Garamond Premr Pro"/>
          <w:noProof/>
        </w:rPr>
        <w:t>ς</w:t>
      </w:r>
      <w:r w:rsidR="00773F92" w:rsidRPr="00424050">
        <w:rPr>
          <w:noProof/>
        </w:rPr>
        <w:t xml:space="preserve"> </w:t>
      </w:r>
      <w:r w:rsidR="00826875" w:rsidRPr="00424050">
        <w:rPr>
          <w:noProof/>
        </w:rPr>
        <w:t>τοὺς</w:t>
      </w:r>
      <w:r w:rsidR="00773F92" w:rsidRPr="00424050">
        <w:rPr>
          <w:noProof/>
        </w:rPr>
        <w:t xml:space="preserve"> </w:t>
      </w:r>
      <w:r w:rsidR="00826875" w:rsidRPr="00424050">
        <w:rPr>
          <w:noProof/>
        </w:rPr>
        <w:t>οἰκοῦντας</w:t>
      </w:r>
      <w:r w:rsidR="00773F92" w:rsidRPr="00424050">
        <w:rPr>
          <w:noProof/>
        </w:rPr>
        <w:t xml:space="preserve"> </w:t>
      </w:r>
      <w:r w:rsidR="00826875" w:rsidRPr="00424050">
        <w:rPr>
          <w:noProof/>
        </w:rPr>
        <w:t>Ἀθήνησι</w:t>
      </w:r>
      <w:r w:rsidR="00773F92" w:rsidRPr="00424050">
        <w:rPr>
          <w:noProof/>
        </w:rPr>
        <w:t xml:space="preserve"> </w:t>
      </w:r>
      <w:r w:rsidR="00826875" w:rsidRPr="00424050">
        <w:rPr>
          <w:noProof/>
        </w:rPr>
        <w:t>[τὰ</w:t>
      </w:r>
      <w:r w:rsidR="00773F92" w:rsidRPr="00424050">
        <w:rPr>
          <w:noProof/>
        </w:rPr>
        <w:t xml:space="preserve"> </w:t>
      </w:r>
      <w:r w:rsidR="00826875" w:rsidRPr="00424050">
        <w:rPr>
          <w:noProof/>
        </w:rPr>
        <w:t>τέκ]ν[α</w:t>
      </w:r>
      <w:r w:rsidR="00773F92" w:rsidRPr="00424050">
        <w:rPr>
          <w:noProof/>
        </w:rPr>
        <w:t xml:space="preserve"> </w:t>
      </w:r>
      <w:r w:rsidR="00826875" w:rsidRPr="00424050">
        <w:rPr>
          <w:noProof/>
        </w:rPr>
        <w:t>καὶ</w:t>
      </w:r>
      <w:r w:rsidR="00773F92" w:rsidRPr="00424050">
        <w:rPr>
          <w:noProof/>
        </w:rPr>
        <w:t xml:space="preserve"> </w:t>
      </w:r>
      <w:r w:rsidR="00826875" w:rsidRPr="00424050">
        <w:rPr>
          <w:noProof/>
        </w:rPr>
        <w:t>τὰς</w:t>
      </w:r>
      <w:r w:rsidR="00773F92" w:rsidRPr="00424050">
        <w:rPr>
          <w:noProof/>
        </w:rPr>
        <w:t xml:space="preserve"> </w:t>
      </w:r>
      <w:r w:rsidR="00826875" w:rsidRPr="00424050">
        <w:rPr>
          <w:noProof/>
        </w:rPr>
        <w:t>γυναῖκ]α̣</w:t>
      </w:r>
      <w:r w:rsidR="00826875" w:rsidRPr="00424050">
        <w:rPr>
          <w:rFonts w:cs="Garamond Premr Pro"/>
          <w:noProof/>
        </w:rPr>
        <w:t>ς</w:t>
      </w:r>
      <w:r w:rsidR="00826875" w:rsidRPr="00424050">
        <w:rPr>
          <w:noProof/>
        </w:rPr>
        <w:t>̣</w:t>
      </w:r>
      <w:r w:rsidR="00773F92" w:rsidRPr="00424050">
        <w:rPr>
          <w:noProof/>
        </w:rPr>
        <w:t xml:space="preserve"> </w:t>
      </w:r>
      <w:r w:rsidR="00826875" w:rsidRPr="00424050">
        <w:rPr>
          <w:rFonts w:ascii="Garamond Premr Dot" w:hAnsi="Garamond Premr Dot"/>
          <w:noProof/>
        </w:rPr>
        <w:t>ε</w:t>
      </w:r>
      <w:r w:rsidR="00826875" w:rsidRPr="00424050">
        <w:rPr>
          <w:noProof/>
        </w:rPr>
        <w:t>[ἰς]</w:t>
      </w:r>
      <w:r w:rsidR="00773F92" w:rsidRPr="00424050">
        <w:rPr>
          <w:noProof/>
        </w:rPr>
        <w:t xml:space="preserve"> </w:t>
      </w:r>
      <w:r w:rsidR="00826875" w:rsidRPr="00424050">
        <w:rPr>
          <w:noProof/>
        </w:rPr>
        <w:t>Τρ</w:t>
      </w:r>
      <w:r w:rsidR="00826875" w:rsidRPr="00424050">
        <w:rPr>
          <w:rFonts w:ascii="Garamond Premr Dot" w:hAnsi="Garamond Premr Dot"/>
          <w:noProof/>
        </w:rPr>
        <w:t>ο</w:t>
      </w:r>
      <w:r w:rsidR="00826875" w:rsidRPr="00424050">
        <w:rPr>
          <w:rFonts w:cs="Garamond Premr Pro"/>
          <w:noProof/>
        </w:rPr>
        <w:t>ιζ</w:t>
      </w:r>
      <w:r w:rsidR="00826875" w:rsidRPr="00424050">
        <w:rPr>
          <w:noProof/>
        </w:rPr>
        <w:t>ῆνα</w:t>
      </w:r>
      <w:r w:rsidR="00773F92" w:rsidRPr="00424050">
        <w:rPr>
          <w:noProof/>
        </w:rPr>
        <w:t xml:space="preserve"> </w:t>
      </w:r>
      <w:r w:rsidR="00826875" w:rsidRPr="00424050">
        <w:rPr>
          <w:noProof/>
        </w:rPr>
        <w:t>καταθέσθαι</w:t>
      </w:r>
      <w:r w:rsidR="00773F92" w:rsidRPr="00424050">
        <w:rPr>
          <w:noProof/>
        </w:rPr>
        <w:t xml:space="preserve"> </w:t>
      </w:r>
      <w:r w:rsidR="00826875" w:rsidRPr="00424050">
        <w:rPr>
          <w:noProof/>
        </w:rPr>
        <w:t>[vacat]</w:t>
      </w:r>
      <w:r w:rsidR="00773F92" w:rsidRPr="00424050">
        <w:rPr>
          <w:noProof/>
        </w:rPr>
        <w:t xml:space="preserve"> </w:t>
      </w:r>
      <w:r w:rsidR="00826875" w:rsidRPr="00424050">
        <w:rPr>
          <w:rFonts w:ascii="Garamond Premr Dot" w:hAnsi="Garamond Premr Dot"/>
          <w:noProof/>
        </w:rPr>
        <w:t>τ</w:t>
      </w:r>
      <w:r w:rsidR="00826875" w:rsidRPr="00424050">
        <w:rPr>
          <w:rFonts w:cs="Garamond Premr Pro"/>
          <w:noProof/>
        </w:rPr>
        <w:t>ο</w:t>
      </w:r>
      <w:r w:rsidR="00826875" w:rsidRPr="00424050">
        <w:rPr>
          <w:rFonts w:ascii="Garamond Premr Dot" w:hAnsi="Garamond Premr Dot"/>
          <w:noProof/>
        </w:rPr>
        <w:t>ῦ</w:t>
      </w:r>
      <w:r w:rsidR="00773F92" w:rsidRPr="00424050">
        <w:rPr>
          <w:noProof/>
        </w:rPr>
        <w:t xml:space="preserve"> </w:t>
      </w:r>
      <w:r w:rsidR="00826875" w:rsidRPr="00424050">
        <w:rPr>
          <w:rFonts w:ascii="Garamond Premr Dot" w:hAnsi="Garamond Premr Dot"/>
          <w:noProof/>
        </w:rPr>
        <w:t>ἀ</w:t>
      </w:r>
      <w:r w:rsidR="00826875" w:rsidRPr="00424050">
        <w:rPr>
          <w:noProof/>
        </w:rPr>
        <w:t>ρχηγέτου</w:t>
      </w:r>
      <w:r w:rsidR="00773F92" w:rsidRPr="00424050">
        <w:rPr>
          <w:noProof/>
        </w:rPr>
        <w:t xml:space="preserve"> </w:t>
      </w:r>
      <w:r w:rsidR="00826875" w:rsidRPr="00424050">
        <w:rPr>
          <w:noProof/>
        </w:rPr>
        <w:t>τῆς</w:t>
      </w:r>
      <w:r w:rsidR="00773F92" w:rsidRPr="00424050">
        <w:rPr>
          <w:noProof/>
        </w:rPr>
        <w:t xml:space="preserve"> </w:t>
      </w:r>
      <w:r w:rsidR="00826875" w:rsidRPr="00424050">
        <w:rPr>
          <w:noProof/>
        </w:rPr>
        <w:t>χώρας·</w:t>
      </w:r>
      <w:r w:rsidR="00BB5FC8" w:rsidRPr="00424050">
        <w:rPr>
          <w:noProof/>
        </w:rPr>
        <w:t xml:space="preserve"> </w:t>
      </w:r>
      <w:r w:rsidR="00826875" w:rsidRPr="00424050">
        <w:rPr>
          <w:noProof/>
        </w:rPr>
        <w:t>τ[οὺς</w:t>
      </w:r>
      <w:r w:rsidR="00773F92" w:rsidRPr="00424050">
        <w:rPr>
          <w:noProof/>
        </w:rPr>
        <w:t xml:space="preserve"> </w:t>
      </w:r>
      <w:r w:rsidR="00826875" w:rsidRPr="00424050">
        <w:rPr>
          <w:noProof/>
        </w:rPr>
        <w:t>δὲ πρεσβύτας</w:t>
      </w:r>
      <w:r w:rsidR="00773F92" w:rsidRPr="00424050">
        <w:rPr>
          <w:noProof/>
        </w:rPr>
        <w:t xml:space="preserve"> </w:t>
      </w:r>
      <w:r w:rsidR="00826875" w:rsidRPr="00424050">
        <w:rPr>
          <w:noProof/>
        </w:rPr>
        <w:t>καὶ</w:t>
      </w:r>
      <w:r w:rsidR="00773F92" w:rsidRPr="00424050">
        <w:rPr>
          <w:noProof/>
        </w:rPr>
        <w:t xml:space="preserve"> </w:t>
      </w:r>
      <w:r w:rsidR="00826875" w:rsidRPr="00424050">
        <w:rPr>
          <w:noProof/>
        </w:rPr>
        <w:t>τὰ]</w:t>
      </w:r>
      <w:r w:rsidR="00773F92" w:rsidRPr="00424050">
        <w:rPr>
          <w:noProof/>
        </w:rPr>
        <w:t xml:space="preserve"> </w:t>
      </w:r>
      <w:r w:rsidR="00826875" w:rsidRPr="00424050">
        <w:rPr>
          <w:noProof/>
        </w:rPr>
        <w:t>κτήματα</w:t>
      </w:r>
      <w:r w:rsidR="00773F92" w:rsidRPr="00424050">
        <w:rPr>
          <w:noProof/>
        </w:rPr>
        <w:t xml:space="preserve"> </w:t>
      </w:r>
      <w:r w:rsidR="00826875" w:rsidRPr="00424050">
        <w:rPr>
          <w:noProof/>
        </w:rPr>
        <w:t>εἰς</w:t>
      </w:r>
      <w:r w:rsidR="00773F92" w:rsidRPr="00424050">
        <w:rPr>
          <w:noProof/>
        </w:rPr>
        <w:t xml:space="preserve"> </w:t>
      </w:r>
      <w:r w:rsidR="00826875" w:rsidRPr="00424050">
        <w:rPr>
          <w:noProof/>
        </w:rPr>
        <w:t>Σαλαμῖνα</w:t>
      </w:r>
      <w:r w:rsidR="00773F92" w:rsidRPr="00424050">
        <w:rPr>
          <w:noProof/>
        </w:rPr>
        <w:t xml:space="preserve"> </w:t>
      </w:r>
      <w:r w:rsidR="00826875" w:rsidRPr="00424050">
        <w:rPr>
          <w:noProof/>
        </w:rPr>
        <w:t>καταθέ[σ]θ[αι</w:t>
      </w:r>
      <w:r w:rsidR="00BB5FC8" w:rsidRPr="00424050">
        <w:rPr>
          <w:rStyle w:val="Rimandonotaapidipagina"/>
        </w:rPr>
        <w:footnoteReference w:id="83"/>
      </w:r>
      <w:r w:rsidR="00CE3C9B" w:rsidRPr="00424050">
        <w:t xml:space="preserve">. </w:t>
      </w:r>
      <w:r w:rsidR="007338AE" w:rsidRPr="00424050">
        <w:t>Senza dubbio non abbiamo una identità</w:t>
      </w:r>
      <w:r w:rsidR="00B17C0D" w:rsidRPr="00424050">
        <w:t xml:space="preserve"> espressiva dei testi</w:t>
      </w:r>
      <w:r w:rsidR="007338AE" w:rsidRPr="00424050">
        <w:t xml:space="preserve">, ma </w:t>
      </w:r>
      <w:r w:rsidR="00C05372" w:rsidRPr="00424050">
        <w:t>un</w:t>
      </w:r>
      <w:r w:rsidR="00084D80" w:rsidRPr="00424050">
        <w:t xml:space="preserve"> modello originario comune</w:t>
      </w:r>
      <w:r w:rsidR="001F027A" w:rsidRPr="00424050">
        <w:t xml:space="preserve">, </w:t>
      </w:r>
      <w:r w:rsidR="00084D80" w:rsidRPr="00424050">
        <w:t xml:space="preserve">forse </w:t>
      </w:r>
      <w:r w:rsidR="007338AE" w:rsidRPr="00424050">
        <w:t>(</w:t>
      </w:r>
      <w:r w:rsidR="00084D80" w:rsidRPr="00424050">
        <w:t>ri</w:t>
      </w:r>
      <w:r w:rsidR="007338AE" w:rsidRPr="00424050">
        <w:t>)</w:t>
      </w:r>
      <w:r w:rsidR="00084D80" w:rsidRPr="00424050">
        <w:t>costruito da un attidografo, come Clidemo</w:t>
      </w:r>
      <w:r w:rsidR="00084D80" w:rsidRPr="00424050">
        <w:rPr>
          <w:rStyle w:val="Rimandonotaapidipagina"/>
        </w:rPr>
        <w:footnoteReference w:id="84"/>
      </w:r>
      <w:r w:rsidR="001F027A" w:rsidRPr="00424050">
        <w:t xml:space="preserve">, i cui frammenti superstiti ci parlano degli eventi </w:t>
      </w:r>
      <w:r w:rsidR="00C05372" w:rsidRPr="00424050">
        <w:t xml:space="preserve">concitati connessi all’evacuazione della Polis poco prima della battaglia </w:t>
      </w:r>
      <w:r w:rsidR="001F027A" w:rsidRPr="00424050">
        <w:lastRenderedPageBreak/>
        <w:t>di Salamina</w:t>
      </w:r>
      <w:r w:rsidR="001F027A" w:rsidRPr="00424050">
        <w:rPr>
          <w:rStyle w:val="Rimandonotaapidipagina"/>
        </w:rPr>
        <w:footnoteReference w:id="85"/>
      </w:r>
      <w:r w:rsidR="00E54F66" w:rsidRPr="00424050">
        <w:t>.</w:t>
      </w:r>
      <w:r w:rsidR="00CB29F0" w:rsidRPr="00424050">
        <w:t xml:space="preserve"> </w:t>
      </w:r>
      <w:r w:rsidR="00C05372" w:rsidRPr="00424050">
        <w:t xml:space="preserve">A chi, dunque, attribuire la </w:t>
      </w:r>
      <w:r w:rsidR="00CB29F0" w:rsidRPr="00424050">
        <w:t xml:space="preserve">formula </w:t>
      </w:r>
      <w:r w:rsidR="00C05372" w:rsidRPr="00424050">
        <w:t>eternata sui decreti ateniesi</w:t>
      </w:r>
      <w:r w:rsidR="00443509" w:rsidRPr="00424050">
        <w:t xml:space="preserve"> a partire da</w:t>
      </w:r>
      <w:r w:rsidR="00EA00D5" w:rsidRPr="00424050">
        <w:t xml:space="preserve"> Cheronea</w:t>
      </w:r>
      <w:r w:rsidR="00443509" w:rsidRPr="00424050">
        <w:t>? Forse proprio a Fanodemo</w:t>
      </w:r>
      <w:r w:rsidR="004945BF" w:rsidRPr="00424050">
        <w:t>,</w:t>
      </w:r>
      <w:r w:rsidR="00443509" w:rsidRPr="00424050">
        <w:t xml:space="preserve"> “minister of public worship and education”</w:t>
      </w:r>
      <w:r w:rsidR="00464DC6" w:rsidRPr="00424050">
        <w:t xml:space="preserve"> dell’Atene post Cheronea</w:t>
      </w:r>
      <w:r w:rsidR="00405BA7" w:rsidRPr="00424050">
        <w:t xml:space="preserve">, a lui </w:t>
      </w:r>
      <w:r w:rsidR="00443509" w:rsidRPr="00424050">
        <w:t>che sembra aver larga parte</w:t>
      </w:r>
      <w:r w:rsidR="00464DC6" w:rsidRPr="00424050">
        <w:t xml:space="preserve"> nella creazione della nuova Atene</w:t>
      </w:r>
      <w:r w:rsidR="000B7C5A" w:rsidRPr="00424050">
        <w:t xml:space="preserve"> e del suo mito</w:t>
      </w:r>
      <w:r w:rsidR="00464DC6" w:rsidRPr="00424050">
        <w:rPr>
          <w:rStyle w:val="Rimandonotaapidipagina"/>
        </w:rPr>
        <w:footnoteReference w:id="86"/>
      </w:r>
      <w:r w:rsidR="004945BF" w:rsidRPr="00424050">
        <w:t>.</w:t>
      </w:r>
    </w:p>
    <w:p w14:paraId="2C17D60B" w14:textId="3FFE3EF9" w:rsidR="00161B61" w:rsidRPr="00424050" w:rsidRDefault="00385FFB" w:rsidP="00385FFB">
      <w:pPr>
        <w:jc w:val="both"/>
      </w:pPr>
      <w:r w:rsidRPr="00424050">
        <w:tab/>
        <w:t>R</w:t>
      </w:r>
      <w:r w:rsidR="000B7C5A" w:rsidRPr="00424050">
        <w:t>icordo</w:t>
      </w:r>
      <w:r w:rsidR="00520B42" w:rsidRPr="00424050">
        <w:t xml:space="preserve"> </w:t>
      </w:r>
      <w:r w:rsidRPr="00424050">
        <w:t>infine un</w:t>
      </w:r>
      <w:r w:rsidR="00520B42" w:rsidRPr="00424050">
        <w:t xml:space="preserve">a </w:t>
      </w:r>
      <w:r w:rsidR="004945BF" w:rsidRPr="00424050">
        <w:t>brillante</w:t>
      </w:r>
      <w:r w:rsidR="00520B42" w:rsidRPr="00424050">
        <w:t xml:space="preserve"> affermazione di Mikalson: terminata l’era di Licurgo, per 250 anni la religione ateniese</w:t>
      </w:r>
      <w:r w:rsidR="00405BA7" w:rsidRPr="00424050">
        <w:t xml:space="preserve"> (e non solo la religione, aggiungerei)</w:t>
      </w:r>
      <w:r w:rsidR="00520B42" w:rsidRPr="00424050">
        <w:t xml:space="preserve"> conobbe diversi travagli determinati da forze interne ed esterne desiderose di un cambiamento, tuttavia gli Ateniesi, esplicitamente o implicitamente, tornarono sempre al modello licurgheo</w:t>
      </w:r>
      <w:r w:rsidR="005671A4" w:rsidRPr="00424050">
        <w:rPr>
          <w:rStyle w:val="Rimandonotaapidipagina"/>
        </w:rPr>
        <w:footnoteReference w:id="87"/>
      </w:r>
      <w:r w:rsidR="00520B42" w:rsidRPr="00424050">
        <w:t>.</w:t>
      </w:r>
    </w:p>
    <w:sectPr w:rsidR="00161B61" w:rsidRPr="00424050" w:rsidSect="005703BF">
      <w:headerReference w:type="even" r:id="rId8"/>
      <w:headerReference w:type="default" r:id="rId9"/>
      <w:footerReference w:type="even" r:id="rId10"/>
      <w:footerReference w:type="default" r:id="rId11"/>
      <w:headerReference w:type="first" r:id="rId12"/>
      <w:footerReference w:type="first" r:id="rId13"/>
      <w:pgSz w:w="8789" w:h="13041" w:code="9"/>
      <w:pgMar w:top="1985" w:right="1134" w:bottom="1418" w:left="1134" w:header="1418"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9C87BF" w14:textId="77777777" w:rsidR="00385249" w:rsidRDefault="00385249" w:rsidP="00E51BB6">
      <w:r>
        <w:separator/>
      </w:r>
    </w:p>
  </w:endnote>
  <w:endnote w:type="continuationSeparator" w:id="0">
    <w:p w14:paraId="16910F0F" w14:textId="77777777" w:rsidR="00385249" w:rsidRDefault="00385249" w:rsidP="00E51B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Garamond Premr Pro">
    <w:panose1 w:val="02020402060506020403"/>
    <w:charset w:val="00"/>
    <w:family w:val="roman"/>
    <w:pitch w:val="variable"/>
    <w:sig w:usb0="60000287" w:usb1="00000001" w:usb2="00000000" w:usb3="00000000" w:csb0="0000019F" w:csb1="00000000"/>
  </w:font>
  <w:font w:name="Aptos Display">
    <w:charset w:val="00"/>
    <w:family w:val="swiss"/>
    <w:pitch w:val="variable"/>
    <w:sig w:usb0="20000287" w:usb1="00000003" w:usb2="00000000" w:usb3="00000000" w:csb0="0000019F" w:csb1="00000000"/>
  </w:font>
  <w:font w:name="Garamond Premr Dot">
    <w:panose1 w:val="02020402060506020403"/>
    <w:charset w:val="00"/>
    <w:family w:val="roman"/>
    <w:pitch w:val="variable"/>
    <w:sig w:usb0="60000287" w:usb1="10000001" w:usb2="00000000" w:usb3="00000000" w:csb0="0000009F" w:csb1="00000000"/>
  </w:font>
  <w:font w:name="Times-Roman">
    <w:altName w:val="Yu Gothic"/>
    <w:panose1 w:val="00000000000000000000"/>
    <w:charset w:val="80"/>
    <w:family w:val="auto"/>
    <w:notTrueType/>
    <w:pitch w:val="default"/>
    <w:sig w:usb0="00000003" w:usb1="08070000" w:usb2="00000010" w:usb3="00000000" w:csb0="00020001" w:csb1="00000000"/>
  </w:font>
  <w:font w:name="DGMetaSerifScience-Itali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EF76F3" w14:textId="77777777" w:rsidR="003978FF" w:rsidRDefault="003978F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66F117" w14:textId="77777777" w:rsidR="003978FF" w:rsidRDefault="003978FF">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E2E321" w14:textId="77777777" w:rsidR="003978FF" w:rsidRDefault="003978F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36D15E" w14:textId="77777777" w:rsidR="00385249" w:rsidRPr="00385FFB" w:rsidRDefault="00385249" w:rsidP="00385FFB"/>
  </w:footnote>
  <w:footnote w:type="continuationSeparator" w:id="0">
    <w:p w14:paraId="36CAA143" w14:textId="77777777" w:rsidR="00385249" w:rsidRPr="00385FFB" w:rsidRDefault="00385249" w:rsidP="00385FFB"/>
  </w:footnote>
  <w:footnote w:id="1">
    <w:p w14:paraId="74AAA71B" w14:textId="684CFD1C"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Sulla questione della datazione dell’opera si rimanda a D. </w:t>
      </w:r>
      <w:r w:rsidRPr="00424050">
        <w:rPr>
          <w:rFonts w:cs="Times New Roman"/>
          <w:smallCaps/>
        </w:rPr>
        <w:t>Whitehead</w:t>
      </w:r>
      <w:r w:rsidRPr="00424050">
        <w:rPr>
          <w:rFonts w:cs="Times New Roman"/>
        </w:rPr>
        <w:t xml:space="preserve">, </w:t>
      </w:r>
      <w:r w:rsidRPr="00424050">
        <w:rPr>
          <w:rFonts w:cs="Times New Roman"/>
          <w:i/>
          <w:iCs/>
        </w:rPr>
        <w:t>Xenophon. Poroi. Revenue-Sources</w:t>
      </w:r>
      <w:r w:rsidRPr="00424050">
        <w:rPr>
          <w:rFonts w:cs="Times New Roman"/>
        </w:rPr>
        <w:t xml:space="preserve">, New York 2019, pp. 7-15; </w:t>
      </w:r>
      <w:r w:rsidR="001929D9" w:rsidRPr="00424050">
        <w:rPr>
          <w:rFonts w:cs="Times New Roman"/>
        </w:rPr>
        <w:t xml:space="preserve">cfr. E. </w:t>
      </w:r>
      <w:r w:rsidR="001929D9" w:rsidRPr="00424050">
        <w:rPr>
          <w:rFonts w:cs="Times New Roman"/>
          <w:smallCaps/>
        </w:rPr>
        <w:t>Pischedda</w:t>
      </w:r>
      <w:r w:rsidR="001929D9" w:rsidRPr="00424050">
        <w:rPr>
          <w:rFonts w:cs="Times New Roman"/>
        </w:rPr>
        <w:t xml:space="preserve"> (cur.), Senofonte. </w:t>
      </w:r>
      <w:r w:rsidR="001929D9" w:rsidRPr="00424050">
        <w:rPr>
          <w:rFonts w:cs="Times New Roman"/>
          <w:i/>
          <w:iCs/>
        </w:rPr>
        <w:t>I Poroi</w:t>
      </w:r>
      <w:r w:rsidR="00C55DD6">
        <w:rPr>
          <w:rFonts w:cs="Times New Roman"/>
        </w:rPr>
        <w:t xml:space="preserve">, </w:t>
      </w:r>
      <w:r w:rsidR="001929D9" w:rsidRPr="00424050">
        <w:rPr>
          <w:rFonts w:cs="Times New Roman"/>
        </w:rPr>
        <w:t>Pisa 2018, p. 10 e n</w:t>
      </w:r>
      <w:r w:rsidR="00C55DD6">
        <w:rPr>
          <w:rFonts w:cs="Times New Roman"/>
        </w:rPr>
        <w:t>ota</w:t>
      </w:r>
      <w:r w:rsidR="001929D9" w:rsidRPr="00424050">
        <w:rPr>
          <w:rFonts w:cs="Times New Roman"/>
        </w:rPr>
        <w:t xml:space="preserve"> 23</w:t>
      </w:r>
      <w:r w:rsidRPr="00424050">
        <w:rPr>
          <w:rFonts w:cs="Times New Roman"/>
        </w:rPr>
        <w:t xml:space="preserve">. Per una datazione al 354-352 si veda L. </w:t>
      </w:r>
      <w:r w:rsidRPr="00424050">
        <w:rPr>
          <w:rFonts w:cs="Times New Roman"/>
          <w:smallCaps/>
        </w:rPr>
        <w:t>De Martinis,</w:t>
      </w:r>
      <w:r w:rsidRPr="00424050">
        <w:rPr>
          <w:rFonts w:cs="Times New Roman"/>
        </w:rPr>
        <w:t xml:space="preserve"> </w:t>
      </w:r>
      <w:r w:rsidRPr="00424050">
        <w:rPr>
          <w:rFonts w:cs="Times New Roman"/>
          <w:i/>
          <w:iCs/>
        </w:rPr>
        <w:t>Eubulo e i Poroi di Senofonte. L’Atene del IV secolo tra riflessione teorica e pratica politica</w:t>
      </w:r>
      <w:r w:rsidRPr="00424050">
        <w:rPr>
          <w:rFonts w:cs="Times New Roman"/>
        </w:rPr>
        <w:t>. Trieste 20</w:t>
      </w:r>
      <w:r w:rsidR="00580B4E" w:rsidRPr="00424050">
        <w:rPr>
          <w:rFonts w:cs="Times New Roman"/>
        </w:rPr>
        <w:t>18</w:t>
      </w:r>
      <w:r w:rsidRPr="00424050">
        <w:rPr>
          <w:rFonts w:cs="Times New Roman"/>
        </w:rPr>
        <w:t>, pp. 98-100.</w:t>
      </w:r>
      <w:r w:rsidR="00475AAC" w:rsidRPr="00424050">
        <w:rPr>
          <w:rFonts w:cs="Times New Roman"/>
        </w:rPr>
        <w:t xml:space="preserve"> Tutte le date sono da intendersi a.C.</w:t>
      </w:r>
    </w:p>
  </w:footnote>
  <w:footnote w:id="2">
    <w:p w14:paraId="2524244F" w14:textId="79AEFE50"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Sulla proposta di identificare i </w:t>
      </w:r>
      <w:r w:rsidRPr="00424050">
        <w:rPr>
          <w:rFonts w:cs="Times New Roman"/>
          <w:i/>
          <w:iCs/>
        </w:rPr>
        <w:t xml:space="preserve">Poroi </w:t>
      </w:r>
      <w:r w:rsidRPr="00424050">
        <w:rPr>
          <w:rFonts w:cs="Times New Roman"/>
        </w:rPr>
        <w:t xml:space="preserve">come un συμβουλευτικὸς λόγος: </w:t>
      </w:r>
      <w:r w:rsidRPr="00424050">
        <w:rPr>
          <w:rFonts w:cs="Times New Roman"/>
          <w:smallCaps/>
        </w:rPr>
        <w:t>De Martinis</w:t>
      </w:r>
      <w:r w:rsidRPr="00424050">
        <w:rPr>
          <w:rFonts w:cs="Times New Roman"/>
        </w:rPr>
        <w:t xml:space="preserve">, </w:t>
      </w:r>
      <w:r w:rsidRPr="00424050">
        <w:rPr>
          <w:rFonts w:cs="Times New Roman"/>
          <w:i/>
          <w:iCs/>
        </w:rPr>
        <w:t>I Poroi di Senofonte: trasposizione letteraria di un συμβουλεθτικὸς λόγος?</w:t>
      </w:r>
      <w:r w:rsidRPr="00424050">
        <w:rPr>
          <w:rFonts w:cs="Times New Roman"/>
        </w:rPr>
        <w:t xml:space="preserve">, in </w:t>
      </w:r>
      <w:r w:rsidRPr="00424050">
        <w:rPr>
          <w:rFonts w:cs="Times New Roman"/>
          <w:smallCaps/>
        </w:rPr>
        <w:t>O. Devillers - B.B. Sebastiani</w:t>
      </w:r>
      <w:r w:rsidRPr="00424050">
        <w:rPr>
          <w:rFonts w:cs="Times New Roman"/>
        </w:rPr>
        <w:t xml:space="preserve"> (éds.), </w:t>
      </w:r>
      <w:r w:rsidRPr="00424050">
        <w:rPr>
          <w:rFonts w:cs="Times New Roman"/>
          <w:i/>
          <w:iCs/>
        </w:rPr>
        <w:t>Sources et modèles des historiens anciens</w:t>
      </w:r>
      <w:r w:rsidRPr="00424050">
        <w:rPr>
          <w:rFonts w:cs="Times New Roman"/>
        </w:rPr>
        <w:t>, 3</w:t>
      </w:r>
      <w:r w:rsidR="00C55DD6">
        <w:rPr>
          <w:rFonts w:cs="Times New Roman"/>
        </w:rPr>
        <w:t>,</w:t>
      </w:r>
      <w:r w:rsidRPr="00424050">
        <w:rPr>
          <w:rFonts w:cs="Times New Roman"/>
        </w:rPr>
        <w:t xml:space="preserve"> Bordeaux 2024, pp. 73-84.</w:t>
      </w:r>
    </w:p>
  </w:footnote>
  <w:footnote w:id="3">
    <w:p w14:paraId="7691AFEE" w14:textId="0325ED05" w:rsidR="009C108F" w:rsidRPr="00424050" w:rsidRDefault="009C108F" w:rsidP="005703BF">
      <w:pPr>
        <w:pStyle w:val="Testonotaapidipagina"/>
      </w:pPr>
      <w:r w:rsidRPr="00424050">
        <w:rPr>
          <w:rStyle w:val="Rimandonotaapidipagina"/>
          <w:rFonts w:cs="Times New Roman"/>
        </w:rPr>
        <w:footnoteRef/>
      </w:r>
      <w:r w:rsidRPr="00424050">
        <w:t xml:space="preserve"> </w:t>
      </w:r>
      <w:r w:rsidR="00985130" w:rsidRPr="00424050">
        <w:t xml:space="preserve">S. </w:t>
      </w:r>
      <w:r w:rsidRPr="00424050">
        <w:rPr>
          <w:smallCaps/>
        </w:rPr>
        <w:t>Schorn</w:t>
      </w:r>
      <w:r w:rsidRPr="00424050">
        <w:t xml:space="preserve">, </w:t>
      </w:r>
      <w:r w:rsidRPr="00424050">
        <w:rPr>
          <w:i/>
          <w:iCs/>
        </w:rPr>
        <w:t>Die Vorstellung des xenophontischen Sokrates von Herrschaft und das Erziehungsprogramm des Hieron</w:t>
      </w:r>
      <w:r w:rsidRPr="00424050">
        <w:t xml:space="preserve">, in </w:t>
      </w:r>
      <w:r w:rsidRPr="00424050">
        <w:rPr>
          <w:smallCaps/>
        </w:rPr>
        <w:t>L. Rossetti - A. Stavru,</w:t>
      </w:r>
      <w:r w:rsidRPr="00424050">
        <w:t xml:space="preserve"> (edd.), </w:t>
      </w:r>
      <w:r w:rsidRPr="00424050">
        <w:rPr>
          <w:i/>
          <w:iCs/>
        </w:rPr>
        <w:t>Socratica 2005. Studi sulla letteratura socratica antica presentati alle Giornate di studio di Senigallia (Bari)</w:t>
      </w:r>
      <w:r w:rsidRPr="00424050">
        <w:t>, Bari 2008, pp. 177</w:t>
      </w:r>
      <w:r w:rsidR="005703BF" w:rsidRPr="00424050">
        <w:t>-</w:t>
      </w:r>
      <w:r w:rsidRPr="00424050">
        <w:t>203</w:t>
      </w:r>
      <w:r w:rsidR="0067497F" w:rsidRPr="00424050">
        <w:t xml:space="preserve">; </w:t>
      </w:r>
      <w:r w:rsidR="0067497F" w:rsidRPr="00424050">
        <w:rPr>
          <w:smallCaps/>
        </w:rPr>
        <w:t>J.H. Humphreys</w:t>
      </w:r>
      <w:r w:rsidR="005703BF" w:rsidRPr="00424050">
        <w:t xml:space="preserve"> et alii</w:t>
      </w:r>
      <w:r w:rsidR="0067497F" w:rsidRPr="00424050">
        <w:t xml:space="preserve">, </w:t>
      </w:r>
      <w:r w:rsidR="0067497F" w:rsidRPr="00424050">
        <w:rPr>
          <w:i/>
          <w:iCs/>
        </w:rPr>
        <w:t>Towards the Augmenting Role of Authenticity: Xenophon as Leadership Theorist</w:t>
      </w:r>
      <w:r w:rsidR="0067497F" w:rsidRPr="00424050">
        <w:t>, «Management &amp; Organizational History» 6, 2011, pp. 183</w:t>
      </w:r>
      <w:r w:rsidR="005703BF" w:rsidRPr="00424050">
        <w:t>-</w:t>
      </w:r>
      <w:r w:rsidR="0067497F" w:rsidRPr="00424050">
        <w:t>207</w:t>
      </w:r>
      <w:r w:rsidR="00982781" w:rsidRPr="00424050">
        <w:t xml:space="preserve">; </w:t>
      </w:r>
      <w:r w:rsidR="00982781" w:rsidRPr="00424050">
        <w:rPr>
          <w:smallCaps/>
        </w:rPr>
        <w:t>Schorn</w:t>
      </w:r>
      <w:r w:rsidR="00982781" w:rsidRPr="00424050">
        <w:t xml:space="preserve">, </w:t>
      </w:r>
      <w:r w:rsidR="00982781" w:rsidRPr="00424050">
        <w:rPr>
          <w:i/>
          <w:iCs/>
        </w:rPr>
        <w:t>The Philosophical Background of Xenophon’s Poroi</w:t>
      </w:r>
      <w:r w:rsidR="00982781" w:rsidRPr="00424050">
        <w:t xml:space="preserve">, in </w:t>
      </w:r>
      <w:r w:rsidR="00982781" w:rsidRPr="00424050">
        <w:rPr>
          <w:rStyle w:val="name"/>
          <w:rFonts w:cs="Times New Roman"/>
        </w:rPr>
        <w:t xml:space="preserve">F. </w:t>
      </w:r>
      <w:r w:rsidR="00982781" w:rsidRPr="00424050">
        <w:rPr>
          <w:rStyle w:val="name"/>
          <w:rFonts w:cs="Times New Roman"/>
          <w:smallCaps/>
        </w:rPr>
        <w:t>Hobden</w:t>
      </w:r>
      <w:r w:rsidR="00982781" w:rsidRPr="00424050">
        <w:t xml:space="preserve"> </w:t>
      </w:r>
      <w:r w:rsidR="005703BF" w:rsidRPr="00424050">
        <w:t>-</w:t>
      </w:r>
      <w:r w:rsidR="00982781" w:rsidRPr="00424050">
        <w:t xml:space="preserve"> </w:t>
      </w:r>
      <w:r w:rsidR="00982781" w:rsidRPr="00424050">
        <w:rPr>
          <w:rStyle w:val="name"/>
          <w:rFonts w:cs="Times New Roman"/>
        </w:rPr>
        <w:t xml:space="preserve">C.J. </w:t>
      </w:r>
      <w:r w:rsidR="00982781" w:rsidRPr="00424050">
        <w:rPr>
          <w:rStyle w:val="name"/>
          <w:rFonts w:cs="Times New Roman"/>
          <w:smallCaps/>
        </w:rPr>
        <w:t>Tuplin</w:t>
      </w:r>
      <w:r w:rsidR="00982781" w:rsidRPr="00424050">
        <w:rPr>
          <w:rStyle w:val="name"/>
          <w:rFonts w:cs="Times New Roman"/>
        </w:rPr>
        <w:t xml:space="preserve"> (eds.),</w:t>
      </w:r>
      <w:r w:rsidR="00982781" w:rsidRPr="00424050">
        <w:rPr>
          <w:rStyle w:val="Enfasicorsivo"/>
          <w:rFonts w:cs="Times New Roman"/>
        </w:rPr>
        <w:t xml:space="preserve"> Xenophon: Ethical Principles and Historical Enquiry</w:t>
      </w:r>
      <w:r w:rsidR="00982781" w:rsidRPr="00424050">
        <w:t>, Leiden 2012, pp. 689</w:t>
      </w:r>
      <w:r w:rsidR="005703BF" w:rsidRPr="00424050">
        <w:t>-</w:t>
      </w:r>
      <w:r w:rsidR="00982781" w:rsidRPr="00424050">
        <w:t>723</w:t>
      </w:r>
      <w:r w:rsidRPr="00424050">
        <w:t xml:space="preserve">. Più in generale, si rimanda a M. </w:t>
      </w:r>
      <w:r w:rsidRPr="00424050">
        <w:rPr>
          <w:smallCaps/>
        </w:rPr>
        <w:t>Tamiolaki</w:t>
      </w:r>
      <w:r w:rsidRPr="00424050">
        <w:t xml:space="preserve">, </w:t>
      </w:r>
      <w:r w:rsidRPr="00424050">
        <w:rPr>
          <w:i/>
          <w:iCs/>
        </w:rPr>
        <w:t>Athenian Leaders in Xenophon’s Memorabilia</w:t>
      </w:r>
      <w:r w:rsidRPr="00424050">
        <w:t xml:space="preserve">, in R.F. </w:t>
      </w:r>
      <w:r w:rsidRPr="00424050">
        <w:rPr>
          <w:smallCaps/>
        </w:rPr>
        <w:t>Buxton</w:t>
      </w:r>
      <w:r w:rsidRPr="00424050">
        <w:t xml:space="preserve"> (ed.), </w:t>
      </w:r>
      <w:r w:rsidRPr="00424050">
        <w:rPr>
          <w:i/>
          <w:iCs/>
        </w:rPr>
        <w:t>Aspects of Leadership in Xenophon</w:t>
      </w:r>
      <w:r w:rsidRPr="00424050">
        <w:t>, New Castle upon Tyne 2016, pp. 1-50</w:t>
      </w:r>
      <w:r w:rsidR="0067497F" w:rsidRPr="00424050">
        <w:t>.</w:t>
      </w:r>
    </w:p>
  </w:footnote>
  <w:footnote w:id="4">
    <w:p w14:paraId="4E17375E" w14:textId="571687B3" w:rsidR="009C108F" w:rsidRPr="00424050" w:rsidRDefault="009C108F" w:rsidP="00385FFB">
      <w:pPr>
        <w:pStyle w:val="Testonotaapidipagina"/>
      </w:pPr>
      <w:r w:rsidRPr="00424050">
        <w:rPr>
          <w:rStyle w:val="Rimandonotaapidipagina"/>
          <w:rFonts w:cs="Times New Roman"/>
        </w:rPr>
        <w:footnoteRef/>
      </w:r>
      <w:r w:rsidRPr="00424050">
        <w:t xml:space="preserve"> </w:t>
      </w:r>
      <w:r w:rsidR="00982781" w:rsidRPr="00424050">
        <w:rPr>
          <w:smallCaps/>
        </w:rPr>
        <w:t>X</w:t>
      </w:r>
      <w:r w:rsidR="00385FFB" w:rsidRPr="00424050">
        <w:rPr>
          <w:smallCaps/>
        </w:rPr>
        <w:t>en.</w:t>
      </w:r>
      <w:r w:rsidR="00982781" w:rsidRPr="00424050">
        <w:t xml:space="preserve"> </w:t>
      </w:r>
      <w:r w:rsidRPr="00424050">
        <w:rPr>
          <w:i/>
          <w:iCs/>
        </w:rPr>
        <w:t>Mem</w:t>
      </w:r>
      <w:r w:rsidR="00982781" w:rsidRPr="00424050">
        <w:rPr>
          <w:i/>
          <w:iCs/>
        </w:rPr>
        <w:t>.</w:t>
      </w:r>
      <w:r w:rsidRPr="00424050">
        <w:t xml:space="preserve"> 4</w:t>
      </w:r>
      <w:r w:rsidR="00385FFB" w:rsidRPr="00424050">
        <w:t xml:space="preserve">, </w:t>
      </w:r>
      <w:r w:rsidRPr="00424050">
        <w:t>2</w:t>
      </w:r>
      <w:r w:rsidR="00385FFB" w:rsidRPr="00424050">
        <w:t xml:space="preserve">, </w:t>
      </w:r>
      <w:r w:rsidRPr="00424050">
        <w:t>26-28</w:t>
      </w:r>
      <w:r w:rsidR="0067497F" w:rsidRPr="00424050">
        <w:t>.</w:t>
      </w:r>
    </w:p>
  </w:footnote>
  <w:footnote w:id="5">
    <w:p w14:paraId="6BB3FF5E" w14:textId="77777777"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Si tratta dell’ἐγκράτεια, di cui Senofonte si occupa, nello specifico, in </w:t>
      </w:r>
      <w:r w:rsidRPr="00424050">
        <w:rPr>
          <w:rFonts w:cs="Times New Roman"/>
          <w:i/>
          <w:iCs/>
        </w:rPr>
        <w:t>Mem</w:t>
      </w:r>
      <w:r w:rsidRPr="00424050">
        <w:rPr>
          <w:rFonts w:cs="Times New Roman"/>
        </w:rPr>
        <w:t>. 4.5.</w:t>
      </w:r>
    </w:p>
  </w:footnote>
  <w:footnote w:id="6">
    <w:p w14:paraId="73589A67" w14:textId="16DF69A8"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N.R.E </w:t>
      </w:r>
      <w:r w:rsidRPr="00424050">
        <w:rPr>
          <w:rFonts w:cs="Times New Roman"/>
          <w:smallCaps/>
        </w:rPr>
        <w:t>Edmund</w:t>
      </w:r>
      <w:r w:rsidRPr="00424050">
        <w:rPr>
          <w:rFonts w:cs="Times New Roman"/>
        </w:rPr>
        <w:t xml:space="preserve">, </w:t>
      </w:r>
      <w:r w:rsidRPr="00424050">
        <w:rPr>
          <w:rStyle w:val="Enfasicorsivo"/>
          <w:rFonts w:cs="Times New Roman"/>
        </w:rPr>
        <w:t xml:space="preserve">Lykourgos of Athens: Lakonian by </w:t>
      </w:r>
      <w:r w:rsidR="0010342D" w:rsidRPr="00424050">
        <w:rPr>
          <w:rStyle w:val="Enfasicorsivo"/>
          <w:rFonts w:cs="Times New Roman"/>
        </w:rPr>
        <w:t>N</w:t>
      </w:r>
      <w:r w:rsidRPr="00424050">
        <w:rPr>
          <w:rStyle w:val="Enfasicorsivo"/>
          <w:rFonts w:cs="Times New Roman"/>
        </w:rPr>
        <w:t xml:space="preserve">ame, Lakoniser by </w:t>
      </w:r>
      <w:r w:rsidR="000C3578" w:rsidRPr="00424050">
        <w:rPr>
          <w:rStyle w:val="Enfasicorsivo"/>
          <w:rFonts w:cs="Times New Roman"/>
        </w:rPr>
        <w:t>Policy?</w:t>
      </w:r>
      <w:r w:rsidR="000C3578" w:rsidRPr="00424050">
        <w:rPr>
          <w:rStyle w:val="Enfasicorsivo"/>
          <w:rFonts w:cs="Times New Roman"/>
          <w:i w:val="0"/>
          <w:iCs w:val="0"/>
        </w:rPr>
        <w:t>,</w:t>
      </w:r>
      <w:r w:rsidRPr="00424050">
        <w:rPr>
          <w:rStyle w:val="Enfasicorsivo"/>
          <w:rFonts w:cs="Times New Roman"/>
        </w:rPr>
        <w:t xml:space="preserve"> </w:t>
      </w:r>
      <w:r w:rsidRPr="00424050">
        <w:rPr>
          <w:rStyle w:val="Enfasicorsivo"/>
          <w:rFonts w:cs="Times New Roman"/>
          <w:i w:val="0"/>
          <w:iCs w:val="0"/>
        </w:rPr>
        <w:t xml:space="preserve">in </w:t>
      </w:r>
      <w:r w:rsidRPr="00424050">
        <w:rPr>
          <w:rStyle w:val="Enfasicorsivo"/>
          <w:rFonts w:cs="Times New Roman"/>
          <w:i w:val="0"/>
          <w:iCs w:val="0"/>
          <w:smallCaps/>
        </w:rPr>
        <w:t>P.</w:t>
      </w:r>
      <w:r w:rsidRPr="00424050">
        <w:rPr>
          <w:rStyle w:val="Enfasicorsivo"/>
          <w:rFonts w:cs="Times New Roman"/>
          <w:smallCaps/>
        </w:rPr>
        <w:t xml:space="preserve"> </w:t>
      </w:r>
      <w:r w:rsidRPr="00424050">
        <w:rPr>
          <w:rStyle w:val="personname"/>
          <w:rFonts w:cs="Times New Roman"/>
          <w:smallCaps/>
        </w:rPr>
        <w:t xml:space="preserve">Cartledge </w:t>
      </w:r>
      <w:r w:rsidR="005703BF" w:rsidRPr="00424050">
        <w:rPr>
          <w:rStyle w:val="personname"/>
          <w:rFonts w:cs="Times New Roman"/>
          <w:smallCaps/>
        </w:rPr>
        <w:t>-</w:t>
      </w:r>
      <w:r w:rsidRPr="00424050">
        <w:rPr>
          <w:rStyle w:val="personname"/>
          <w:rFonts w:cs="Times New Roman"/>
          <w:smallCaps/>
        </w:rPr>
        <w:t xml:space="preserve"> N. Birgalias </w:t>
      </w:r>
      <w:r w:rsidR="005703BF" w:rsidRPr="00424050">
        <w:rPr>
          <w:rStyle w:val="personname"/>
          <w:rFonts w:cs="Times New Roman"/>
          <w:smallCaps/>
        </w:rPr>
        <w:t>-</w:t>
      </w:r>
      <w:r w:rsidRPr="00424050">
        <w:rPr>
          <w:rStyle w:val="personname"/>
          <w:rFonts w:cs="Times New Roman"/>
          <w:smallCaps/>
        </w:rPr>
        <w:t xml:space="preserve"> K. Buraselis</w:t>
      </w:r>
      <w:r w:rsidRPr="00424050">
        <w:rPr>
          <w:rStyle w:val="personname"/>
          <w:rFonts w:cs="Times New Roman"/>
        </w:rPr>
        <w:t xml:space="preserve"> (eds.),</w:t>
      </w:r>
      <w:r w:rsidRPr="00424050">
        <w:rPr>
          <w:rFonts w:cs="Times New Roman"/>
          <w:i/>
          <w:iCs/>
        </w:rPr>
        <w:t xml:space="preserve"> The Contribution of Ancient Sparta to Political Thought and Practice</w:t>
      </w:r>
      <w:r w:rsidRPr="00424050">
        <w:rPr>
          <w:rFonts w:cs="Times New Roman"/>
        </w:rPr>
        <w:t>, Athens 2002, pp. 327-341.</w:t>
      </w:r>
    </w:p>
  </w:footnote>
  <w:footnote w:id="7">
    <w:p w14:paraId="292858EE" w14:textId="725006E8" w:rsidR="009C108F" w:rsidRPr="00424050" w:rsidRDefault="009C108F" w:rsidP="003B7BC3">
      <w:pPr>
        <w:pStyle w:val="Testonotaapidipagina"/>
        <w:rPr>
          <w:rFonts w:cs="Times New Roman"/>
          <w:u w:val="single"/>
        </w:rPr>
      </w:pPr>
      <w:r w:rsidRPr="00424050">
        <w:rPr>
          <w:rStyle w:val="Rimandonotaapidipagina"/>
          <w:rFonts w:cs="Times New Roman"/>
        </w:rPr>
        <w:footnoteRef/>
      </w:r>
      <w:r w:rsidRPr="00424050">
        <w:rPr>
          <w:rFonts w:cs="Times New Roman"/>
        </w:rPr>
        <w:t xml:space="preserve"> </w:t>
      </w:r>
      <w:r w:rsidRPr="00424050">
        <w:rPr>
          <w:rFonts w:cs="Times New Roman"/>
          <w:smallCaps/>
        </w:rPr>
        <w:t>Schorn</w:t>
      </w:r>
      <w:r w:rsidRPr="00424050">
        <w:rPr>
          <w:rFonts w:cs="Times New Roman"/>
        </w:rPr>
        <w:t xml:space="preserve">, </w:t>
      </w:r>
      <w:r w:rsidR="0010342D" w:rsidRPr="00424050">
        <w:rPr>
          <w:rFonts w:cs="Times New Roman"/>
          <w:i/>
          <w:iCs/>
        </w:rPr>
        <w:t>Die Vorstellung</w:t>
      </w:r>
      <w:r w:rsidR="0010342D" w:rsidRPr="00424050">
        <w:t>,</w:t>
      </w:r>
      <w:r w:rsidR="0010342D" w:rsidRPr="00424050">
        <w:rPr>
          <w:rFonts w:cs="Times New Roman"/>
          <w:i/>
          <w:iCs/>
        </w:rPr>
        <w:t xml:space="preserve"> </w:t>
      </w:r>
      <w:r w:rsidRPr="00424050">
        <w:rPr>
          <w:rFonts w:cs="Times New Roman"/>
        </w:rPr>
        <w:t>pp. 700-701</w:t>
      </w:r>
      <w:r w:rsidR="0010342D" w:rsidRPr="00424050">
        <w:rPr>
          <w:rFonts w:cs="Times New Roman"/>
        </w:rPr>
        <w:t>.</w:t>
      </w:r>
    </w:p>
  </w:footnote>
  <w:footnote w:id="8">
    <w:p w14:paraId="0BE87184" w14:textId="4355F8CE"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982781" w:rsidRPr="00C55DD6">
        <w:rPr>
          <w:rFonts w:cs="Times New Roman"/>
          <w:smallCaps/>
        </w:rPr>
        <w:t>X</w:t>
      </w:r>
      <w:r w:rsidR="00C55DD6" w:rsidRPr="00C55DD6">
        <w:rPr>
          <w:rFonts w:cs="Times New Roman"/>
          <w:smallCaps/>
        </w:rPr>
        <w:t>en</w:t>
      </w:r>
      <w:r w:rsidR="00982781" w:rsidRPr="00C55DD6">
        <w:rPr>
          <w:rFonts w:cs="Times New Roman"/>
          <w:smallCaps/>
        </w:rPr>
        <w:t>.</w:t>
      </w:r>
      <w:r w:rsidR="00982781" w:rsidRPr="00424050">
        <w:rPr>
          <w:rFonts w:cs="Times New Roman"/>
        </w:rPr>
        <w:t xml:space="preserve"> </w:t>
      </w:r>
      <w:r w:rsidR="00A65C06" w:rsidRPr="00424050">
        <w:rPr>
          <w:rFonts w:cs="Times New Roman"/>
          <w:i/>
          <w:iCs/>
        </w:rPr>
        <w:t>Vect</w:t>
      </w:r>
      <w:r w:rsidR="00A65C06" w:rsidRPr="00424050">
        <w:rPr>
          <w:rFonts w:cs="Times New Roman"/>
        </w:rPr>
        <w:t xml:space="preserve">. </w:t>
      </w:r>
      <w:r w:rsidRPr="00424050">
        <w:rPr>
          <w:rFonts w:cs="Times New Roman"/>
        </w:rPr>
        <w:t>2</w:t>
      </w:r>
      <w:r w:rsidR="00C55DD6">
        <w:rPr>
          <w:rFonts w:cs="Times New Roman"/>
        </w:rPr>
        <w:t xml:space="preserve">, </w:t>
      </w:r>
      <w:r w:rsidRPr="00424050">
        <w:rPr>
          <w:rFonts w:cs="Times New Roman"/>
        </w:rPr>
        <w:t>6</w:t>
      </w:r>
      <w:r w:rsidR="00C55DD6">
        <w:rPr>
          <w:rFonts w:cs="Times New Roman"/>
        </w:rPr>
        <w:t xml:space="preserve">, </w:t>
      </w:r>
      <w:r w:rsidRPr="00424050">
        <w:rPr>
          <w:rFonts w:cs="Times New Roman"/>
        </w:rPr>
        <w:t>33-35</w:t>
      </w:r>
      <w:r w:rsidR="00A65C06" w:rsidRPr="00424050">
        <w:rPr>
          <w:rFonts w:cs="Times New Roman"/>
        </w:rPr>
        <w:t>.</w:t>
      </w:r>
    </w:p>
  </w:footnote>
  <w:footnote w:id="9">
    <w:p w14:paraId="6F577A44" w14:textId="65EA8DD5" w:rsidR="009C108F" w:rsidRPr="00424050" w:rsidRDefault="009C108F" w:rsidP="003B7BC3">
      <w:pPr>
        <w:pStyle w:val="Testonotaapidipagina"/>
        <w:rPr>
          <w:rFonts w:cs="Times New Roman"/>
          <w:i/>
          <w:iCs/>
        </w:rPr>
      </w:pPr>
      <w:r w:rsidRPr="00424050">
        <w:rPr>
          <w:rStyle w:val="Rimandonotaapidipagina"/>
          <w:rFonts w:cs="Times New Roman"/>
        </w:rPr>
        <w:footnoteRef/>
      </w:r>
      <w:r w:rsidRPr="00424050">
        <w:rPr>
          <w:rFonts w:cs="Times New Roman"/>
        </w:rPr>
        <w:t xml:space="preserve"> A favore di una scrittura dell’opera in funzione della politica di Eubulo</w:t>
      </w:r>
      <w:r w:rsidR="00C55DD6">
        <w:rPr>
          <w:rFonts w:cs="Times New Roman"/>
        </w:rPr>
        <w:t xml:space="preserve"> è</w:t>
      </w:r>
      <w:r w:rsidRPr="00424050">
        <w:rPr>
          <w:rFonts w:cs="Times New Roman"/>
        </w:rPr>
        <w:t xml:space="preserve"> </w:t>
      </w:r>
      <w:r w:rsidRPr="00424050">
        <w:rPr>
          <w:rFonts w:cs="Times New Roman"/>
          <w:smallCaps/>
        </w:rPr>
        <w:t>De Martinis</w:t>
      </w:r>
      <w:r w:rsidRPr="00424050">
        <w:rPr>
          <w:rFonts w:cs="Times New Roman"/>
        </w:rPr>
        <w:t xml:space="preserve">, </w:t>
      </w:r>
      <w:r w:rsidR="0010342D" w:rsidRPr="00424050">
        <w:rPr>
          <w:rFonts w:cs="Times New Roman"/>
          <w:i/>
          <w:iCs/>
        </w:rPr>
        <w:t>I Poroi di Senofonte</w:t>
      </w:r>
      <w:r w:rsidR="0010342D" w:rsidRPr="00424050">
        <w:rPr>
          <w:rFonts w:cs="Times New Roman"/>
        </w:rPr>
        <w:t xml:space="preserve">, </w:t>
      </w:r>
      <w:r w:rsidRPr="00424050">
        <w:rPr>
          <w:rFonts w:cs="Times New Roman"/>
        </w:rPr>
        <w:t>p. 83 e n</w:t>
      </w:r>
      <w:r w:rsidR="00424050">
        <w:rPr>
          <w:rFonts w:cs="Times New Roman"/>
        </w:rPr>
        <w:t>ota</w:t>
      </w:r>
      <w:r w:rsidRPr="00424050">
        <w:rPr>
          <w:rFonts w:cs="Times New Roman"/>
        </w:rPr>
        <w:t xml:space="preserve"> 69.</w:t>
      </w:r>
    </w:p>
  </w:footnote>
  <w:footnote w:id="10">
    <w:p w14:paraId="09FA6E14" w14:textId="5CF51ECC"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10342D" w:rsidRPr="00424050">
        <w:rPr>
          <w:rFonts w:cs="Times New Roman"/>
        </w:rPr>
        <w:t>[</w:t>
      </w:r>
      <w:r w:rsidR="0010342D" w:rsidRPr="00424050">
        <w:rPr>
          <w:rFonts w:cs="Times New Roman"/>
          <w:smallCaps/>
        </w:rPr>
        <w:t>Plu</w:t>
      </w:r>
      <w:r w:rsidR="00C55DD6">
        <w:rPr>
          <w:rFonts w:cs="Times New Roman"/>
          <w:smallCaps/>
        </w:rPr>
        <w:t>t</w:t>
      </w:r>
      <w:r w:rsidR="0010342D" w:rsidRPr="00424050">
        <w:rPr>
          <w:rFonts w:cs="Times New Roman"/>
        </w:rPr>
        <w:t xml:space="preserve">.] </w:t>
      </w:r>
      <w:r w:rsidR="0010342D" w:rsidRPr="00424050">
        <w:rPr>
          <w:rFonts w:cs="Times New Roman"/>
          <w:i/>
          <w:iCs/>
        </w:rPr>
        <w:t>Mor</w:t>
      </w:r>
      <w:r w:rsidR="0010342D" w:rsidRPr="00424050">
        <w:rPr>
          <w:rFonts w:cs="Times New Roman"/>
        </w:rPr>
        <w:t xml:space="preserve">. </w:t>
      </w:r>
      <w:r w:rsidRPr="00424050">
        <w:rPr>
          <w:rFonts w:cs="Times New Roman"/>
        </w:rPr>
        <w:t>851e-852</w:t>
      </w:r>
      <w:r w:rsidR="00985130" w:rsidRPr="00424050">
        <w:rPr>
          <w:rFonts w:cs="Times New Roman"/>
        </w:rPr>
        <w:t>.</w:t>
      </w:r>
    </w:p>
  </w:footnote>
  <w:footnote w:id="11">
    <w:p w14:paraId="675DB3FB" w14:textId="7EAA4A1F"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Il decreto, fatto votare da Strato</w:t>
      </w:r>
      <w:r w:rsidR="00580B4E" w:rsidRPr="00424050">
        <w:rPr>
          <w:rFonts w:cs="Times New Roman"/>
        </w:rPr>
        <w:t>cle</w:t>
      </w:r>
      <w:r w:rsidRPr="00424050">
        <w:rPr>
          <w:rFonts w:cs="Times New Roman"/>
        </w:rPr>
        <w:t xml:space="preserve"> di Diomeia nel 307/6, ci è pervenuto sia per via epigrafica (</w:t>
      </w:r>
      <w:r w:rsidRPr="00424050">
        <w:rPr>
          <w:rFonts w:cs="Times New Roman"/>
          <w:i/>
          <w:iCs/>
        </w:rPr>
        <w:t>IG</w:t>
      </w:r>
      <w:r w:rsidRPr="00424050">
        <w:rPr>
          <w:rFonts w:cs="Times New Roman"/>
        </w:rPr>
        <w:t xml:space="preserve"> II</w:t>
      </w:r>
      <w:r w:rsidRPr="00424050">
        <w:rPr>
          <w:rFonts w:cs="Times New Roman"/>
          <w:vertAlign w:val="superscript"/>
        </w:rPr>
        <w:t>2</w:t>
      </w:r>
      <w:r w:rsidRPr="00424050">
        <w:rPr>
          <w:rFonts w:cs="Times New Roman"/>
        </w:rPr>
        <w:t xml:space="preserve"> 457 + 3207) </w:t>
      </w:r>
      <w:r w:rsidR="00985130" w:rsidRPr="00424050">
        <w:rPr>
          <w:rFonts w:cs="Times New Roman"/>
        </w:rPr>
        <w:t>sia</w:t>
      </w:r>
      <w:r w:rsidRPr="00424050">
        <w:rPr>
          <w:rFonts w:cs="Times New Roman"/>
        </w:rPr>
        <w:t xml:space="preserve"> come appendice alla vita di Licurgo plutarchea</w:t>
      </w:r>
      <w:r w:rsidR="0067497F" w:rsidRPr="00424050">
        <w:rPr>
          <w:rFonts w:cs="Times New Roman"/>
        </w:rPr>
        <w:t>.</w:t>
      </w:r>
    </w:p>
  </w:footnote>
  <w:footnote w:id="12">
    <w:p w14:paraId="10CE7F4D" w14:textId="557BBCDE"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Whitehead</w:t>
      </w:r>
      <w:r w:rsidRPr="00424050">
        <w:rPr>
          <w:rFonts w:cs="Times New Roman"/>
        </w:rPr>
        <w:t xml:space="preserve">, </w:t>
      </w:r>
      <w:r w:rsidR="0010342D" w:rsidRPr="00424050">
        <w:rPr>
          <w:rFonts w:cs="Times New Roman"/>
          <w:i/>
          <w:iCs/>
        </w:rPr>
        <w:t>Xenophon. Poroi</w:t>
      </w:r>
      <w:r w:rsidRPr="00424050">
        <w:rPr>
          <w:rFonts w:cs="Times New Roman"/>
        </w:rPr>
        <w:t xml:space="preserve">, </w:t>
      </w:r>
      <w:r w:rsidR="0010342D" w:rsidRPr="00424050">
        <w:rPr>
          <w:rFonts w:cs="Times New Roman"/>
        </w:rPr>
        <w:t>pp.</w:t>
      </w:r>
      <w:r w:rsidRPr="00424050">
        <w:rPr>
          <w:rFonts w:cs="Times New Roman"/>
        </w:rPr>
        <w:t xml:space="preserve"> 21-30.</w:t>
      </w:r>
    </w:p>
  </w:footnote>
  <w:footnote w:id="13">
    <w:p w14:paraId="5BADB52A" w14:textId="408D0FF7"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Plu</w:t>
      </w:r>
      <w:r w:rsidR="00C55DD6">
        <w:rPr>
          <w:rFonts w:cs="Times New Roman"/>
          <w:smallCaps/>
        </w:rPr>
        <w:t>t</w:t>
      </w:r>
      <w:r w:rsidRPr="00424050">
        <w:rPr>
          <w:rFonts w:cs="Times New Roman"/>
        </w:rPr>
        <w:t xml:space="preserve">.] </w:t>
      </w:r>
      <w:r w:rsidRPr="00424050">
        <w:rPr>
          <w:rFonts w:cs="Times New Roman"/>
          <w:i/>
          <w:iCs/>
        </w:rPr>
        <w:t>Mor</w:t>
      </w:r>
      <w:r w:rsidRPr="00424050">
        <w:rPr>
          <w:rFonts w:cs="Times New Roman"/>
        </w:rPr>
        <w:t xml:space="preserve">. 841b: ἀκροατὴς δὲ γενόμενος Πλάτωνος τοῦ φιλοσόφου, τὰ πρῶτα ἐφιλοσόφησεν· εἶτα καὶ Ἰσοκράτους τοῦ ῥήτορος γνώριμος γενόμενος ἐπολιτεύσατο ἐπιφανῶς (cfr. </w:t>
      </w:r>
      <w:r w:rsidRPr="00424050">
        <w:rPr>
          <w:rFonts w:cs="Times New Roman"/>
          <w:smallCaps/>
        </w:rPr>
        <w:t>Olymp</w:t>
      </w:r>
      <w:r w:rsidR="00985130" w:rsidRPr="00424050">
        <w:rPr>
          <w:rFonts w:cs="Times New Roman"/>
          <w:smallCaps/>
        </w:rPr>
        <w:t>.</w:t>
      </w:r>
      <w:r w:rsidRPr="00424050">
        <w:rPr>
          <w:rFonts w:cs="Times New Roman"/>
        </w:rPr>
        <w:t xml:space="preserve"> </w:t>
      </w:r>
      <w:r w:rsidRPr="00424050">
        <w:rPr>
          <w:rFonts w:cs="Times New Roman"/>
          <w:i/>
          <w:iCs/>
        </w:rPr>
        <w:t>in Grg</w:t>
      </w:r>
      <w:r w:rsidRPr="00424050">
        <w:rPr>
          <w:rFonts w:cs="Times New Roman"/>
        </w:rPr>
        <w:t xml:space="preserve">. 515c). In questa frase sembra evidenziarsi una successione di momenti nella formazione e affermazione politica del personaggio. Una formazione filosofica prima di acceder alla pratica politica permetteva al Butade di incarnare l’ideale governatore della polis, </w:t>
      </w:r>
      <w:r w:rsidR="0067497F" w:rsidRPr="00424050">
        <w:rPr>
          <w:rFonts w:cs="Times New Roman"/>
        </w:rPr>
        <w:t xml:space="preserve">che proprio Platone andava esaltando nel III libro della </w:t>
      </w:r>
      <w:r w:rsidR="0067497F" w:rsidRPr="00424050">
        <w:rPr>
          <w:rFonts w:cs="Times New Roman"/>
          <w:i/>
          <w:iCs/>
        </w:rPr>
        <w:t>Repubblica</w:t>
      </w:r>
      <w:r w:rsidR="0067497F" w:rsidRPr="00424050">
        <w:rPr>
          <w:rFonts w:cs="Times New Roman"/>
        </w:rPr>
        <w:t xml:space="preserve">: </w:t>
      </w:r>
      <w:r w:rsidRPr="00424050">
        <w:rPr>
          <w:rFonts w:cs="Times New Roman"/>
        </w:rPr>
        <w:t xml:space="preserve">naturalmente educato al bene e </w:t>
      </w:r>
      <w:r w:rsidR="0067497F" w:rsidRPr="00424050">
        <w:rPr>
          <w:rFonts w:cs="Times New Roman"/>
        </w:rPr>
        <w:t xml:space="preserve">con una </w:t>
      </w:r>
      <w:r w:rsidRPr="00424050">
        <w:rPr>
          <w:rFonts w:cs="Times New Roman"/>
        </w:rPr>
        <w:t xml:space="preserve">facoltà di giudizio senz’altro </w:t>
      </w:r>
      <w:r w:rsidR="0067497F" w:rsidRPr="00424050">
        <w:rPr>
          <w:rFonts w:cs="Times New Roman"/>
        </w:rPr>
        <w:t>corretta</w:t>
      </w:r>
      <w:r w:rsidRPr="00424050">
        <w:rPr>
          <w:rFonts w:cs="Times New Roman"/>
        </w:rPr>
        <w:t xml:space="preserve"> perché costantemente educato alla giustizia. Approcciandosi invece alla gestione della </w:t>
      </w:r>
      <w:r w:rsidRPr="00424050">
        <w:rPr>
          <w:rFonts w:cs="Times New Roman"/>
          <w:i/>
          <w:iCs/>
        </w:rPr>
        <w:t>res publica</w:t>
      </w:r>
      <w:r w:rsidRPr="00424050">
        <w:rPr>
          <w:rFonts w:cs="Times New Roman"/>
        </w:rPr>
        <w:t xml:space="preserve"> Licurgo si fece retore isocrateo, un mutamento che sembra </w:t>
      </w:r>
      <w:r w:rsidR="0010342D" w:rsidRPr="00424050">
        <w:rPr>
          <w:rFonts w:cs="Times New Roman"/>
        </w:rPr>
        <w:t>alludere</w:t>
      </w:r>
      <w:r w:rsidRPr="00424050">
        <w:rPr>
          <w:rFonts w:cs="Times New Roman"/>
        </w:rPr>
        <w:t xml:space="preserve"> </w:t>
      </w:r>
      <w:r w:rsidR="0010342D" w:rsidRPr="00424050">
        <w:rPr>
          <w:rFonts w:cs="Times New Roman"/>
        </w:rPr>
        <w:t>al</w:t>
      </w:r>
      <w:r w:rsidRPr="00424050">
        <w:rPr>
          <w:rFonts w:cs="Times New Roman"/>
        </w:rPr>
        <w:t xml:space="preserve">la critica di Isocrate al </w:t>
      </w:r>
      <w:r w:rsidR="0067497F" w:rsidRPr="00424050">
        <w:rPr>
          <w:rFonts w:cs="Times New Roman"/>
        </w:rPr>
        <w:t>p</w:t>
      </w:r>
      <w:r w:rsidRPr="00424050">
        <w:rPr>
          <w:rFonts w:cs="Times New Roman"/>
        </w:rPr>
        <w:t>latonismo</w:t>
      </w:r>
      <w:r w:rsidR="0067497F" w:rsidRPr="00424050">
        <w:rPr>
          <w:rFonts w:cs="Times New Roman"/>
        </w:rPr>
        <w:t xml:space="preserve"> </w:t>
      </w:r>
      <w:r w:rsidR="0010342D" w:rsidRPr="00424050">
        <w:rPr>
          <w:rFonts w:cs="Times New Roman"/>
        </w:rPr>
        <w:t xml:space="preserve">e </w:t>
      </w:r>
      <w:r w:rsidR="0067497F" w:rsidRPr="00424050">
        <w:rPr>
          <w:rFonts w:cs="Times New Roman"/>
        </w:rPr>
        <w:t>d</w:t>
      </w:r>
      <w:r w:rsidR="0010342D" w:rsidRPr="00424050">
        <w:rPr>
          <w:rFonts w:cs="Times New Roman"/>
        </w:rPr>
        <w:t>eterminata</w:t>
      </w:r>
      <w:r w:rsidR="0067497F" w:rsidRPr="00424050">
        <w:rPr>
          <w:rFonts w:cs="Times New Roman"/>
        </w:rPr>
        <w:t xml:space="preserve"> </w:t>
      </w:r>
      <w:r w:rsidR="0010342D" w:rsidRPr="00424050">
        <w:rPr>
          <w:rFonts w:cs="Times New Roman"/>
        </w:rPr>
        <w:t>dal</w:t>
      </w:r>
      <w:r w:rsidRPr="00424050">
        <w:rPr>
          <w:rFonts w:cs="Times New Roman"/>
        </w:rPr>
        <w:t xml:space="preserve">l’impossibilità di mettere realmente in pratica gli insegnamenti platonici. </w:t>
      </w:r>
      <w:r w:rsidRPr="00424050">
        <w:rPr>
          <w:rFonts w:cs="Times New Roman"/>
          <w:i/>
          <w:iCs/>
        </w:rPr>
        <w:t>Contra</w:t>
      </w:r>
      <w:r w:rsidRPr="00424050">
        <w:rPr>
          <w:rFonts w:cs="Times New Roman"/>
        </w:rPr>
        <w:t xml:space="preserve">: R.F. </w:t>
      </w:r>
      <w:r w:rsidRPr="00424050">
        <w:rPr>
          <w:rFonts w:cs="Times New Roman"/>
          <w:smallCaps/>
        </w:rPr>
        <w:t>Renehan</w:t>
      </w:r>
      <w:r w:rsidRPr="00424050">
        <w:rPr>
          <w:rFonts w:cs="Times New Roman"/>
        </w:rPr>
        <w:t xml:space="preserve">, </w:t>
      </w:r>
      <w:r w:rsidRPr="00424050">
        <w:rPr>
          <w:rFonts w:cs="Times New Roman"/>
          <w:i/>
          <w:iCs/>
        </w:rPr>
        <w:t>The Platonism of Lykurgus,</w:t>
      </w:r>
      <w:r w:rsidRPr="00424050">
        <w:rPr>
          <w:rFonts w:cs="Times New Roman"/>
        </w:rPr>
        <w:t xml:space="preserve"> «GRBS» 11, 1970, pp. 219-231.</w:t>
      </w:r>
      <w:r w:rsidR="00AA4622" w:rsidRPr="00424050">
        <w:rPr>
          <w:rFonts w:cs="Times New Roman"/>
        </w:rPr>
        <w:t xml:space="preserve"> </w:t>
      </w:r>
      <w:r w:rsidR="00EB0558" w:rsidRPr="00424050">
        <w:rPr>
          <w:rFonts w:cs="Times New Roman"/>
        </w:rPr>
        <w:t>Sul</w:t>
      </w:r>
      <w:r w:rsidR="00A7548C" w:rsidRPr="00424050">
        <w:rPr>
          <w:rFonts w:cs="Times New Roman"/>
        </w:rPr>
        <w:t>le diverse posizioni di</w:t>
      </w:r>
      <w:r w:rsidR="00EB0558" w:rsidRPr="00424050">
        <w:rPr>
          <w:rFonts w:cs="Times New Roman"/>
        </w:rPr>
        <w:t xml:space="preserve"> Isocrate</w:t>
      </w:r>
      <w:r w:rsidR="00A7548C" w:rsidRPr="00424050">
        <w:rPr>
          <w:rFonts w:cs="Times New Roman"/>
        </w:rPr>
        <w:t xml:space="preserve"> e </w:t>
      </w:r>
      <w:r w:rsidR="00EB0558" w:rsidRPr="00424050">
        <w:rPr>
          <w:rFonts w:cs="Times New Roman"/>
        </w:rPr>
        <w:t>Platone</w:t>
      </w:r>
      <w:r w:rsidR="00A7548C" w:rsidRPr="00424050">
        <w:rPr>
          <w:rFonts w:cs="Times New Roman"/>
        </w:rPr>
        <w:t xml:space="preserve">, soprattutto in relazione alla </w:t>
      </w:r>
      <w:r w:rsidR="00A7548C" w:rsidRPr="00424050">
        <w:rPr>
          <w:rFonts w:cs="Times New Roman"/>
          <w:i/>
          <w:iCs/>
        </w:rPr>
        <w:t>paideia</w:t>
      </w:r>
      <w:r w:rsidR="00EB0558" w:rsidRPr="00424050">
        <w:rPr>
          <w:rFonts w:cs="Times New Roman"/>
        </w:rPr>
        <w:t>: C.</w:t>
      </w:r>
      <w:r w:rsidR="00A7548C" w:rsidRPr="00424050">
        <w:rPr>
          <w:rFonts w:cs="Times New Roman"/>
        </w:rPr>
        <w:t xml:space="preserve"> </w:t>
      </w:r>
      <w:r w:rsidR="00EB0558" w:rsidRPr="00424050">
        <w:rPr>
          <w:rFonts w:cs="Times New Roman"/>
          <w:smallCaps/>
        </w:rPr>
        <w:t>Eucken</w:t>
      </w:r>
      <w:r w:rsidR="00EB0558" w:rsidRPr="00424050">
        <w:rPr>
          <w:rFonts w:cs="Times New Roman"/>
        </w:rPr>
        <w:t xml:space="preserve">, </w:t>
      </w:r>
      <w:r w:rsidR="00EB0558" w:rsidRPr="00424050">
        <w:rPr>
          <w:rFonts w:cs="Times New Roman"/>
          <w:i/>
          <w:iCs/>
        </w:rPr>
        <w:t>Isokrates. Seine Positionen in der Auseinandersetzung mit den zeitgenössischen Philosophen</w:t>
      </w:r>
      <w:r w:rsidR="00EB0558" w:rsidRPr="00424050">
        <w:rPr>
          <w:rFonts w:cs="Times New Roman"/>
        </w:rPr>
        <w:t xml:space="preserve">, Berlin 1983, pp. </w:t>
      </w:r>
      <w:r w:rsidR="0088178C" w:rsidRPr="00424050">
        <w:rPr>
          <w:rFonts w:cs="Times New Roman"/>
        </w:rPr>
        <w:t>56-63</w:t>
      </w:r>
      <w:r w:rsidR="000C3578" w:rsidRPr="00424050">
        <w:rPr>
          <w:rFonts w:cs="Times New Roman"/>
        </w:rPr>
        <w:t>;</w:t>
      </w:r>
      <w:r w:rsidR="00A7548C" w:rsidRPr="00424050">
        <w:rPr>
          <w:rFonts w:cs="Times New Roman"/>
        </w:rPr>
        <w:t xml:space="preserve"> </w:t>
      </w:r>
      <w:r w:rsidR="00593ED9" w:rsidRPr="00424050">
        <w:rPr>
          <w:rFonts w:cs="Times New Roman"/>
        </w:rPr>
        <w:t xml:space="preserve">cfr. </w:t>
      </w:r>
      <w:r w:rsidR="000C3578" w:rsidRPr="00424050">
        <w:rPr>
          <w:rFonts w:cs="Times New Roman"/>
        </w:rPr>
        <w:t xml:space="preserve">T. </w:t>
      </w:r>
      <w:r w:rsidR="000C3578" w:rsidRPr="00424050">
        <w:rPr>
          <w:rFonts w:cs="Times New Roman"/>
          <w:smallCaps/>
        </w:rPr>
        <w:t>Wareh</w:t>
      </w:r>
      <w:r w:rsidR="000C3578" w:rsidRPr="00424050">
        <w:rPr>
          <w:rFonts w:cs="Times New Roman"/>
        </w:rPr>
        <w:t xml:space="preserve">, </w:t>
      </w:r>
      <w:r w:rsidR="000C3578" w:rsidRPr="00424050">
        <w:rPr>
          <w:rFonts w:cs="Times New Roman"/>
          <w:i/>
          <w:iCs/>
        </w:rPr>
        <w:t>The Theory and Practice of Life: Isocrates and the Philosophers</w:t>
      </w:r>
      <w:r w:rsidR="000C3578" w:rsidRPr="00424050">
        <w:rPr>
          <w:rFonts w:cs="Times New Roman"/>
        </w:rPr>
        <w:t>, Washington 2012</w:t>
      </w:r>
      <w:r w:rsidR="00593ED9" w:rsidRPr="00424050">
        <w:rPr>
          <w:rFonts w:cs="Times New Roman"/>
        </w:rPr>
        <w:t>.</w:t>
      </w:r>
    </w:p>
  </w:footnote>
  <w:footnote w:id="14">
    <w:p w14:paraId="320BE8F2" w14:textId="210261AD"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Plu</w:t>
      </w:r>
      <w:r w:rsidR="00C55DD6">
        <w:rPr>
          <w:rFonts w:cs="Times New Roman"/>
          <w:smallCaps/>
        </w:rPr>
        <w:t>t</w:t>
      </w:r>
      <w:r w:rsidRPr="00424050">
        <w:rPr>
          <w:rFonts w:cs="Times New Roman"/>
        </w:rPr>
        <w:t xml:space="preserve">.] </w:t>
      </w:r>
      <w:r w:rsidRPr="00424050">
        <w:rPr>
          <w:rFonts w:cs="Times New Roman"/>
          <w:i/>
          <w:iCs/>
        </w:rPr>
        <w:t>Mor</w:t>
      </w:r>
      <w:r w:rsidRPr="00424050">
        <w:rPr>
          <w:rFonts w:cs="Times New Roman"/>
        </w:rPr>
        <w:t>. 841d-f.</w:t>
      </w:r>
      <w:r w:rsidR="0067497F" w:rsidRPr="00424050">
        <w:rPr>
          <w:rFonts w:cs="Times New Roman"/>
        </w:rPr>
        <w:t xml:space="preserve"> </w:t>
      </w:r>
      <w:r w:rsidRPr="00424050">
        <w:rPr>
          <w:rFonts w:cs="Times New Roman"/>
          <w:smallCaps/>
        </w:rPr>
        <w:t>M.A. Flower</w:t>
      </w:r>
      <w:r w:rsidRPr="00424050">
        <w:rPr>
          <w:rFonts w:cs="Times New Roman"/>
        </w:rPr>
        <w:t xml:space="preserve">, </w:t>
      </w:r>
      <w:r w:rsidRPr="00424050">
        <w:rPr>
          <w:rFonts w:cs="Times New Roman"/>
          <w:i/>
          <w:iCs/>
        </w:rPr>
        <w:t>Piety in Xenophon’s Theory of Leadership</w:t>
      </w:r>
      <w:r w:rsidRPr="00424050">
        <w:rPr>
          <w:rFonts w:cs="Times New Roman"/>
        </w:rPr>
        <w:t>, «</w:t>
      </w:r>
      <w:r w:rsidR="0067497F" w:rsidRPr="00424050">
        <w:rPr>
          <w:rFonts w:cs="Times New Roman"/>
        </w:rPr>
        <w:t>H</w:t>
      </w:r>
      <w:r w:rsidRPr="00424050">
        <w:rPr>
          <w:rFonts w:cs="Times New Roman"/>
        </w:rPr>
        <w:t xml:space="preserve">istos» suppl. 5, 2016, </w:t>
      </w:r>
      <w:r w:rsidR="0067497F" w:rsidRPr="00424050">
        <w:rPr>
          <w:rFonts w:cs="Times New Roman"/>
        </w:rPr>
        <w:t xml:space="preserve">pp. </w:t>
      </w:r>
      <w:r w:rsidRPr="00424050">
        <w:rPr>
          <w:rFonts w:cs="Times New Roman"/>
        </w:rPr>
        <w:t>85-119.</w:t>
      </w:r>
    </w:p>
  </w:footnote>
  <w:footnote w:id="15">
    <w:p w14:paraId="72B6BAA1" w14:textId="6B4AD333" w:rsidR="00E01CE5" w:rsidRPr="00424050" w:rsidRDefault="00E01CE5"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Plu</w:t>
      </w:r>
      <w:r w:rsidR="00C55DD6">
        <w:rPr>
          <w:rFonts w:cs="Times New Roman"/>
          <w:smallCaps/>
        </w:rPr>
        <w:t>t</w:t>
      </w:r>
      <w:r w:rsidRPr="00424050">
        <w:rPr>
          <w:rFonts w:cs="Times New Roman"/>
        </w:rPr>
        <w:t xml:space="preserve">.] </w:t>
      </w:r>
      <w:r w:rsidRPr="00424050">
        <w:rPr>
          <w:rFonts w:cs="Times New Roman"/>
          <w:i/>
          <w:iCs/>
        </w:rPr>
        <w:t>Mor</w:t>
      </w:r>
      <w:r w:rsidRPr="00424050">
        <w:rPr>
          <w:rFonts w:cs="Times New Roman"/>
        </w:rPr>
        <w:t xml:space="preserve">. 842a-b. Secondo quanto registrato nella </w:t>
      </w:r>
      <w:r w:rsidRPr="00424050">
        <w:rPr>
          <w:rFonts w:cs="Times New Roman"/>
          <w:i/>
          <w:iCs/>
        </w:rPr>
        <w:t>Vita</w:t>
      </w:r>
      <w:r w:rsidRPr="00424050">
        <w:rPr>
          <w:rFonts w:cs="Times New Roman"/>
        </w:rPr>
        <w:t>, privati gli affidarono l’importante somma di 250 talenti</w:t>
      </w:r>
      <w:r w:rsidR="00533BDC">
        <w:rPr>
          <w:rFonts w:cs="Times New Roman"/>
        </w:rPr>
        <w:t>,</w:t>
      </w:r>
      <w:r w:rsidRPr="00424050">
        <w:rPr>
          <w:rFonts w:cs="Times New Roman"/>
        </w:rPr>
        <w:t xml:space="preserve"> che custodì con onore [841</w:t>
      </w:r>
      <w:r w:rsidR="00C55DD6">
        <w:rPr>
          <w:rFonts w:cs="Times New Roman"/>
        </w:rPr>
        <w:t>d</w:t>
      </w:r>
      <w:r w:rsidRPr="00424050">
        <w:rPr>
          <w:rFonts w:cs="Times New Roman"/>
        </w:rPr>
        <w:t xml:space="preserve">]; perseguì </w:t>
      </w:r>
      <w:r w:rsidR="00533BDC">
        <w:rPr>
          <w:rFonts w:cs="Times New Roman"/>
        </w:rPr>
        <w:t xml:space="preserve">sua moglie </w:t>
      </w:r>
      <w:r w:rsidRPr="00424050">
        <w:rPr>
          <w:rFonts w:cs="Times New Roman"/>
        </w:rPr>
        <w:t>per aver disatteso una legge da lui fatta votare, per la quale nessuna donna dove</w:t>
      </w:r>
      <w:r w:rsidR="00425013" w:rsidRPr="00424050">
        <w:rPr>
          <w:rFonts w:cs="Times New Roman"/>
        </w:rPr>
        <w:t>va</w:t>
      </w:r>
      <w:r w:rsidRPr="00424050">
        <w:rPr>
          <w:rFonts w:cs="Times New Roman"/>
        </w:rPr>
        <w:t xml:space="preserve"> recarsi ad Eleusi su carro; nei processi fare il suo nome era un sollievo per chi cercava un difensore (1841</w:t>
      </w:r>
      <w:r w:rsidR="00C55DD6">
        <w:rPr>
          <w:rFonts w:cs="Times New Roman"/>
        </w:rPr>
        <w:t>f</w:t>
      </w:r>
      <w:r w:rsidRPr="00424050">
        <w:rPr>
          <w:rFonts w:cs="Times New Roman"/>
        </w:rPr>
        <w:t>).</w:t>
      </w:r>
    </w:p>
  </w:footnote>
  <w:footnote w:id="16">
    <w:p w14:paraId="6C1B29CB" w14:textId="41C3F15D" w:rsidR="009C108F" w:rsidRPr="00424050" w:rsidRDefault="009C108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Plu</w:t>
      </w:r>
      <w:r w:rsidR="00C55DD6">
        <w:rPr>
          <w:rFonts w:cs="Times New Roman"/>
          <w:smallCaps/>
        </w:rPr>
        <w:t>t</w:t>
      </w:r>
      <w:r w:rsidRPr="00424050">
        <w:rPr>
          <w:rFonts w:cs="Times New Roman"/>
        </w:rPr>
        <w:t xml:space="preserve">.] </w:t>
      </w:r>
      <w:r w:rsidRPr="00424050">
        <w:rPr>
          <w:rFonts w:cs="Times New Roman"/>
          <w:i/>
          <w:iCs/>
        </w:rPr>
        <w:t>Mor</w:t>
      </w:r>
      <w:r w:rsidRPr="00424050">
        <w:rPr>
          <w:rFonts w:cs="Times New Roman"/>
        </w:rPr>
        <w:t xml:space="preserve">. 842c: d’estate e d’inverno portava un unico </w:t>
      </w:r>
      <w:r w:rsidR="0067497F" w:rsidRPr="00424050">
        <w:rPr>
          <w:rFonts w:cs="Times New Roman"/>
        </w:rPr>
        <w:t>mantello,</w:t>
      </w:r>
      <w:r w:rsidRPr="00424050">
        <w:rPr>
          <w:rFonts w:cs="Times New Roman"/>
        </w:rPr>
        <w:t xml:space="preserve"> calzava sandali solo se necessario, studiava notte e giorno </w:t>
      </w:r>
      <w:r w:rsidR="00D91D81" w:rsidRPr="00424050">
        <w:rPr>
          <w:rFonts w:cs="Times New Roman"/>
        </w:rPr>
        <w:t xml:space="preserve">per supplire alle sue mancanze </w:t>
      </w:r>
      <w:r w:rsidRPr="00424050">
        <w:rPr>
          <w:rFonts w:cs="Times New Roman"/>
        </w:rPr>
        <w:t>e dormiva su un κλινίδιον con una sola coperta e un solo cuscino</w:t>
      </w:r>
      <w:r w:rsidR="0067497F" w:rsidRPr="00424050">
        <w:rPr>
          <w:rFonts w:cs="Times New Roman"/>
        </w:rPr>
        <w:t>.</w:t>
      </w:r>
    </w:p>
  </w:footnote>
  <w:footnote w:id="17">
    <w:p w14:paraId="71D28DD0" w14:textId="07C91505" w:rsidR="00E51BB6" w:rsidRPr="00424050" w:rsidRDefault="00E51BB6" w:rsidP="003B7BC3">
      <w:pPr>
        <w:pStyle w:val="Testonotaapidipagina"/>
        <w:rPr>
          <w:rFonts w:cs="Times New Roman"/>
          <w:i/>
          <w:iCs/>
          <w:color w:val="000000"/>
          <w:spacing w:val="-1"/>
          <w:shd w:val="clear" w:color="auto" w:fill="FFFFFF"/>
        </w:rPr>
      </w:pPr>
      <w:r w:rsidRPr="00424050">
        <w:rPr>
          <w:rStyle w:val="Rimandonotaapidipagina"/>
          <w:rFonts w:cs="Times New Roman"/>
        </w:rPr>
        <w:footnoteRef/>
      </w:r>
      <w:r w:rsidRPr="00424050">
        <w:rPr>
          <w:rFonts w:cs="Times New Roman"/>
        </w:rPr>
        <w:t xml:space="preserve"> Sulla posizione di critica </w:t>
      </w:r>
      <w:r w:rsidR="0067497F" w:rsidRPr="00424050">
        <w:rPr>
          <w:rFonts w:cs="Times New Roman"/>
        </w:rPr>
        <w:t xml:space="preserve">nei confronti di una </w:t>
      </w:r>
      <w:r w:rsidRPr="00424050">
        <w:rPr>
          <w:rFonts w:cs="Times New Roman"/>
        </w:rPr>
        <w:t xml:space="preserve">idealizzazione dell’età licurghea la voce più rappresentativa rimane </w:t>
      </w:r>
      <w:r w:rsidRPr="00424050">
        <w:rPr>
          <w:rFonts w:cs="Times New Roman"/>
          <w:color w:val="000000"/>
          <w:spacing w:val="-1"/>
          <w:shd w:val="clear" w:color="auto" w:fill="FFFFFF"/>
        </w:rPr>
        <w:t>P. </w:t>
      </w:r>
      <w:r w:rsidRPr="00424050">
        <w:rPr>
          <w:rFonts w:cs="Times New Roman"/>
          <w:smallCaps/>
          <w:color w:val="000000"/>
          <w:spacing w:val="-1"/>
          <w:shd w:val="clear" w:color="auto" w:fill="FFFFFF"/>
        </w:rPr>
        <w:t>Brun</w:t>
      </w:r>
      <w:r w:rsidRPr="00424050">
        <w:rPr>
          <w:rFonts w:cs="Times New Roman"/>
          <w:color w:val="000000"/>
          <w:spacing w:val="-1"/>
          <w:shd w:val="clear" w:color="auto" w:fill="FFFFFF"/>
        </w:rPr>
        <w:t>,</w:t>
      </w:r>
      <w:r w:rsidR="0067497F" w:rsidRPr="00424050">
        <w:rPr>
          <w:rFonts w:cs="Times New Roman"/>
          <w:color w:val="000000"/>
          <w:spacing w:val="-1"/>
          <w:shd w:val="clear" w:color="auto" w:fill="FFFFFF"/>
        </w:rPr>
        <w:t xml:space="preserve"> </w:t>
      </w:r>
      <w:r w:rsidRPr="00424050">
        <w:rPr>
          <w:rFonts w:cs="Times New Roman"/>
          <w:i/>
          <w:iCs/>
          <w:color w:val="000000"/>
          <w:spacing w:val="-1"/>
          <w:shd w:val="clear" w:color="auto" w:fill="FFFFFF"/>
        </w:rPr>
        <w:t xml:space="preserve">Lycurgue </w:t>
      </w:r>
      <w:r w:rsidR="00E11873" w:rsidRPr="00424050">
        <w:rPr>
          <w:rFonts w:cs="Times New Roman"/>
          <w:i/>
          <w:iCs/>
          <w:color w:val="000000"/>
          <w:spacing w:val="-1"/>
          <w:shd w:val="clear" w:color="auto" w:fill="FFFFFF"/>
        </w:rPr>
        <w:t>d’Athènes:</w:t>
      </w:r>
      <w:r w:rsidRPr="00424050">
        <w:rPr>
          <w:rFonts w:cs="Times New Roman"/>
          <w:i/>
          <w:iCs/>
          <w:color w:val="000000"/>
          <w:spacing w:val="-1"/>
          <w:shd w:val="clear" w:color="auto" w:fill="FFFFFF"/>
        </w:rPr>
        <w:t xml:space="preserve"> la construction d’un paradigme historique</w:t>
      </w:r>
      <w:r w:rsidRPr="00424050">
        <w:rPr>
          <w:rFonts w:cs="Times New Roman"/>
          <w:color w:val="000000"/>
          <w:spacing w:val="-1"/>
          <w:shd w:val="clear" w:color="auto" w:fill="FFFFFF"/>
        </w:rPr>
        <w:t>,</w:t>
      </w:r>
      <w:r w:rsidRPr="00424050">
        <w:rPr>
          <w:rStyle w:val="Enfasicorsivo"/>
          <w:rFonts w:cs="Times New Roman"/>
          <w:color w:val="000000"/>
          <w:spacing w:val="-1"/>
          <w:shd w:val="clear" w:color="auto" w:fill="FFFFFF"/>
        </w:rPr>
        <w:t> </w:t>
      </w:r>
      <w:r w:rsidRPr="00424050">
        <w:rPr>
          <w:rStyle w:val="Enfasicorsivo"/>
          <w:rFonts w:cs="Times New Roman"/>
          <w:i w:val="0"/>
          <w:iCs w:val="0"/>
          <w:color w:val="000000"/>
          <w:spacing w:val="-1"/>
          <w:shd w:val="clear" w:color="auto" w:fill="FFFFFF"/>
        </w:rPr>
        <w:t>in</w:t>
      </w:r>
      <w:r w:rsidRPr="00424050">
        <w:rPr>
          <w:rStyle w:val="Enfasicorsivo"/>
          <w:rFonts w:cs="Times New Roman"/>
          <w:color w:val="000000"/>
          <w:spacing w:val="-1"/>
          <w:shd w:val="clear" w:color="auto" w:fill="FFFFFF"/>
        </w:rPr>
        <w:t> </w:t>
      </w:r>
      <w:r w:rsidRPr="00424050">
        <w:rPr>
          <w:rFonts w:cs="Times New Roman"/>
          <w:color w:val="000000"/>
          <w:spacing w:val="-1"/>
          <w:shd w:val="clear" w:color="auto" w:fill="FFFFFF"/>
        </w:rPr>
        <w:t>G. </w:t>
      </w:r>
      <w:r w:rsidRPr="00424050">
        <w:rPr>
          <w:rFonts w:cs="Times New Roman"/>
          <w:smallCaps/>
          <w:color w:val="000000"/>
          <w:spacing w:val="-1"/>
          <w:shd w:val="clear" w:color="auto" w:fill="FFFFFF"/>
        </w:rPr>
        <w:t>Lachenaud</w:t>
      </w:r>
      <w:r w:rsidRPr="00424050">
        <w:rPr>
          <w:rFonts w:cs="Times New Roman"/>
          <w:color w:val="000000"/>
          <w:spacing w:val="-1"/>
          <w:shd w:val="clear" w:color="auto" w:fill="FFFFFF"/>
        </w:rPr>
        <w:t> </w:t>
      </w:r>
      <w:r w:rsidR="0067497F" w:rsidRPr="00424050">
        <w:rPr>
          <w:rFonts w:cs="Times New Roman"/>
          <w:color w:val="000000"/>
          <w:spacing w:val="-1"/>
          <w:shd w:val="clear" w:color="auto" w:fill="FFFFFF"/>
        </w:rPr>
        <w:t>-</w:t>
      </w:r>
      <w:r w:rsidRPr="00424050">
        <w:rPr>
          <w:rFonts w:cs="Times New Roman"/>
          <w:color w:val="000000"/>
          <w:spacing w:val="-1"/>
          <w:shd w:val="clear" w:color="auto" w:fill="FFFFFF"/>
        </w:rPr>
        <w:t xml:space="preserve"> D. </w:t>
      </w:r>
      <w:r w:rsidRPr="00424050">
        <w:rPr>
          <w:rFonts w:cs="Times New Roman"/>
          <w:smallCaps/>
          <w:color w:val="000000"/>
          <w:spacing w:val="-1"/>
          <w:shd w:val="clear" w:color="auto" w:fill="FFFFFF"/>
        </w:rPr>
        <w:t>Longrée </w:t>
      </w:r>
      <w:r w:rsidRPr="00424050">
        <w:rPr>
          <w:rFonts w:cs="Times New Roman"/>
          <w:color w:val="000000"/>
          <w:spacing w:val="-1"/>
          <w:shd w:val="clear" w:color="auto" w:fill="FFFFFF"/>
        </w:rPr>
        <w:t>(eds.), </w:t>
      </w:r>
      <w:r w:rsidRPr="00424050">
        <w:rPr>
          <w:rStyle w:val="Enfasicorsivo"/>
          <w:rFonts w:cs="Times New Roman"/>
          <w:color w:val="000000"/>
          <w:spacing w:val="-1"/>
          <w:shd w:val="clear" w:color="auto" w:fill="FFFFFF"/>
        </w:rPr>
        <w:t>Grecs et Romains aux prises avec l’histoire. Représentations, récits, idéologie</w:t>
      </w:r>
      <w:r w:rsidRPr="00E34779">
        <w:t>, </w:t>
      </w:r>
      <w:r w:rsidRPr="00424050">
        <w:rPr>
          <w:rFonts w:cs="Times New Roman"/>
          <w:color w:val="000000"/>
          <w:spacing w:val="-1"/>
          <w:shd w:val="clear" w:color="auto" w:fill="FFFFFF"/>
        </w:rPr>
        <w:t xml:space="preserve">2, Rennes 2003, </w:t>
      </w:r>
      <w:r w:rsidR="0067497F" w:rsidRPr="00424050">
        <w:rPr>
          <w:rFonts w:cs="Times New Roman"/>
          <w:color w:val="000000"/>
          <w:spacing w:val="-1"/>
          <w:shd w:val="clear" w:color="auto" w:fill="FFFFFF"/>
        </w:rPr>
        <w:t>p</w:t>
      </w:r>
      <w:r w:rsidRPr="00424050">
        <w:rPr>
          <w:rFonts w:cs="Times New Roman"/>
          <w:color w:val="000000"/>
          <w:spacing w:val="-1"/>
          <w:shd w:val="clear" w:color="auto" w:fill="FFFFFF"/>
        </w:rPr>
        <w:t>p. 493</w:t>
      </w:r>
      <w:r w:rsidRPr="00424050">
        <w:rPr>
          <w:rFonts w:cs="Times New Roman"/>
          <w:color w:val="000000"/>
          <w:spacing w:val="-1"/>
          <w:shd w:val="clear" w:color="auto" w:fill="FFFFFF"/>
        </w:rPr>
        <w:noBreakHyphen/>
        <w:t>507</w:t>
      </w:r>
      <w:r w:rsidR="0067497F" w:rsidRPr="00424050">
        <w:rPr>
          <w:rFonts w:cs="Times New Roman"/>
          <w:color w:val="000000"/>
          <w:spacing w:val="-1"/>
          <w:shd w:val="clear" w:color="auto" w:fill="FFFFFF"/>
        </w:rPr>
        <w:t>; cfr.</w:t>
      </w:r>
      <w:r w:rsidRPr="00424050">
        <w:rPr>
          <w:rFonts w:cs="Times New Roman"/>
          <w:color w:val="000000"/>
          <w:shd w:val="clear" w:color="auto" w:fill="FFFFFF"/>
        </w:rPr>
        <w:t> </w:t>
      </w:r>
      <w:r w:rsidRPr="00424050">
        <w:rPr>
          <w:rFonts w:cs="Times New Roman"/>
          <w:i/>
          <w:iCs/>
          <w:color w:val="000000"/>
          <w:spacing w:val="-1"/>
          <w:shd w:val="clear" w:color="auto" w:fill="FFFFFF"/>
        </w:rPr>
        <w:t>Lycurgue d’Athènes: un législateur?</w:t>
      </w:r>
      <w:r w:rsidRPr="00424050">
        <w:rPr>
          <w:rFonts w:cs="Times New Roman"/>
          <w:color w:val="000000"/>
          <w:spacing w:val="-1"/>
          <w:shd w:val="clear" w:color="auto" w:fill="FFFFFF"/>
        </w:rPr>
        <w:t>,</w:t>
      </w:r>
      <w:r w:rsidRPr="00424050">
        <w:rPr>
          <w:rStyle w:val="Enfasicorsivo"/>
          <w:rFonts w:cs="Times New Roman"/>
          <w:color w:val="000000"/>
          <w:spacing w:val="-1"/>
          <w:shd w:val="clear" w:color="auto" w:fill="FFFFFF"/>
        </w:rPr>
        <w:t> </w:t>
      </w:r>
      <w:r w:rsidR="0067497F" w:rsidRPr="00424050">
        <w:rPr>
          <w:rStyle w:val="Enfasicorsivo"/>
          <w:rFonts w:cs="Times New Roman"/>
          <w:i w:val="0"/>
          <w:iCs w:val="0"/>
          <w:color w:val="000000"/>
          <w:spacing w:val="-1"/>
          <w:shd w:val="clear" w:color="auto" w:fill="FFFFFF"/>
        </w:rPr>
        <w:t>in</w:t>
      </w:r>
      <w:r w:rsidR="0067497F" w:rsidRPr="00424050">
        <w:rPr>
          <w:rFonts w:cs="Times New Roman"/>
          <w:color w:val="000000"/>
          <w:spacing w:val="-1"/>
          <w:shd w:val="clear" w:color="auto" w:fill="FFFFFF"/>
        </w:rPr>
        <w:t xml:space="preserve"> </w:t>
      </w:r>
      <w:r w:rsidRPr="00424050">
        <w:rPr>
          <w:rFonts w:cs="Times New Roman"/>
          <w:color w:val="000000"/>
          <w:spacing w:val="-1"/>
          <w:shd w:val="clear" w:color="auto" w:fill="FFFFFF"/>
        </w:rPr>
        <w:t>P. </w:t>
      </w:r>
      <w:r w:rsidRPr="00424050">
        <w:rPr>
          <w:rFonts w:cs="Times New Roman"/>
          <w:smallCaps/>
          <w:color w:val="000000"/>
          <w:spacing w:val="-1"/>
          <w:shd w:val="clear" w:color="auto" w:fill="FFFFFF"/>
        </w:rPr>
        <w:t>Sineux</w:t>
      </w:r>
      <w:r w:rsidRPr="00424050">
        <w:rPr>
          <w:rFonts w:cs="Times New Roman"/>
          <w:color w:val="000000"/>
          <w:spacing w:val="-1"/>
          <w:shd w:val="clear" w:color="auto" w:fill="FFFFFF"/>
        </w:rPr>
        <w:t> (ed.), </w:t>
      </w:r>
      <w:r w:rsidRPr="00424050">
        <w:rPr>
          <w:rStyle w:val="Enfasicorsivo"/>
          <w:rFonts w:cs="Times New Roman"/>
          <w:color w:val="000000"/>
          <w:spacing w:val="-1"/>
          <w:shd w:val="clear" w:color="auto" w:fill="FFFFFF"/>
        </w:rPr>
        <w:t>Le législateur et la loi dans l’Antiquité. Hommages à Françoise Ruzé</w:t>
      </w:r>
      <w:r w:rsidRPr="00424050">
        <w:rPr>
          <w:rFonts w:cs="Times New Roman"/>
          <w:color w:val="000000"/>
          <w:spacing w:val="-1"/>
          <w:shd w:val="clear" w:color="auto" w:fill="FFFFFF"/>
        </w:rPr>
        <w:t>, Caen 2005, p</w:t>
      </w:r>
      <w:r w:rsidR="0067497F" w:rsidRPr="00424050">
        <w:rPr>
          <w:rFonts w:cs="Times New Roman"/>
          <w:color w:val="000000"/>
          <w:spacing w:val="-1"/>
          <w:shd w:val="clear" w:color="auto" w:fill="FFFFFF"/>
        </w:rPr>
        <w:t>p</w:t>
      </w:r>
      <w:r w:rsidRPr="00424050">
        <w:rPr>
          <w:rFonts w:cs="Times New Roman"/>
          <w:color w:val="000000"/>
          <w:spacing w:val="-1"/>
          <w:shd w:val="clear" w:color="auto" w:fill="FFFFFF"/>
        </w:rPr>
        <w:t>. 187-199</w:t>
      </w:r>
      <w:r w:rsidRPr="00424050">
        <w:rPr>
          <w:rFonts w:cs="Times New Roman"/>
          <w:color w:val="000000"/>
          <w:shd w:val="clear" w:color="auto" w:fill="FFFFFF"/>
        </w:rPr>
        <w:t>.</w:t>
      </w:r>
    </w:p>
  </w:footnote>
  <w:footnote w:id="18">
    <w:p w14:paraId="35976777" w14:textId="6D21ACFC"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Licurgo stesso, nel </w:t>
      </w:r>
      <w:r w:rsidRPr="00424050">
        <w:rPr>
          <w:rFonts w:cs="Times New Roman"/>
          <w:i/>
          <w:iCs/>
        </w:rPr>
        <w:t>Contro Leocrate</w:t>
      </w:r>
      <w:r w:rsidRPr="00424050">
        <w:rPr>
          <w:rFonts w:cs="Times New Roman"/>
        </w:rPr>
        <w:t xml:space="preserve"> focalizz</w:t>
      </w:r>
      <w:r w:rsidR="000C3578" w:rsidRPr="00424050">
        <w:rPr>
          <w:rFonts w:cs="Times New Roman"/>
        </w:rPr>
        <w:t>ò</w:t>
      </w:r>
      <w:r w:rsidRPr="00424050">
        <w:rPr>
          <w:rFonts w:cs="Times New Roman"/>
        </w:rPr>
        <w:t xml:space="preserve"> l’attenzione del suo uditorio sulla parola </w:t>
      </w:r>
      <w:r w:rsidR="005A50F4" w:rsidRPr="00424050">
        <w:rPr>
          <w:rFonts w:cs="Times New Roman"/>
        </w:rPr>
        <w:t>μεταβολή</w:t>
      </w:r>
      <w:r w:rsidRPr="00424050">
        <w:rPr>
          <w:rFonts w:cs="Times New Roman"/>
        </w:rPr>
        <w:t xml:space="preserve">: </w:t>
      </w:r>
      <w:r w:rsidR="00CF5394" w:rsidRPr="00424050">
        <w:rPr>
          <w:rFonts w:cs="Times New Roman"/>
          <w:smallCaps/>
        </w:rPr>
        <w:t>Lyc</w:t>
      </w:r>
      <w:r w:rsidR="00CF5394" w:rsidRPr="00424050">
        <w:rPr>
          <w:rFonts w:cs="Times New Roman"/>
        </w:rPr>
        <w:t>. 1</w:t>
      </w:r>
      <w:r w:rsidR="00C55DD6">
        <w:rPr>
          <w:rFonts w:cs="Times New Roman"/>
        </w:rPr>
        <w:t xml:space="preserve">, </w:t>
      </w:r>
      <w:r w:rsidR="00CF5394" w:rsidRPr="00424050">
        <w:rPr>
          <w:rFonts w:cs="Times New Roman"/>
        </w:rPr>
        <w:t>42</w:t>
      </w:r>
      <w:r w:rsidRPr="00424050">
        <w:rPr>
          <w:rFonts w:cs="Times New Roman"/>
        </w:rPr>
        <w:t>.</w:t>
      </w:r>
    </w:p>
  </w:footnote>
  <w:footnote w:id="19">
    <w:p w14:paraId="333D22B3" w14:textId="73B111DA"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D. </w:t>
      </w:r>
      <w:r w:rsidRPr="00424050">
        <w:rPr>
          <w:rFonts w:cs="Times New Roman"/>
          <w:smallCaps/>
        </w:rPr>
        <w:t>Marchiandi</w:t>
      </w:r>
      <w:r w:rsidRPr="00424050">
        <w:rPr>
          <w:rFonts w:cs="Times New Roman"/>
        </w:rPr>
        <w:t xml:space="preserve">, </w:t>
      </w:r>
      <w:r w:rsidRPr="00424050">
        <w:rPr>
          <w:rFonts w:cs="Times New Roman"/>
          <w:i/>
          <w:iCs/>
        </w:rPr>
        <w:t>Contiguità pericolose nell’amministrazione locale dell’Attica classica: affari di famiglia, conoscenze altolocate e doni strategici (a margine del contratto di affitto di una cava di pietra ad Eleusi - SEG LIX 143)</w:t>
      </w:r>
      <w:r w:rsidRPr="00424050">
        <w:rPr>
          <w:rFonts w:cs="Times New Roman"/>
        </w:rPr>
        <w:t xml:space="preserve">, in </w:t>
      </w:r>
      <w:r w:rsidRPr="00424050">
        <w:rPr>
          <w:rFonts w:cs="Times New Roman"/>
          <w:smallCaps/>
        </w:rPr>
        <w:t>G. Cuniberti</w:t>
      </w:r>
      <w:r w:rsidRPr="00424050">
        <w:rPr>
          <w:rFonts w:cs="Times New Roman"/>
        </w:rPr>
        <w:t xml:space="preserve"> (cur.), </w:t>
      </w:r>
      <w:r w:rsidRPr="00424050">
        <w:rPr>
          <w:rFonts w:cs="Times New Roman"/>
          <w:i/>
          <w:iCs/>
        </w:rPr>
        <w:t>Dono, controdono e corruzione. Ricerche storiche e dialogo interdisciplinare</w:t>
      </w:r>
      <w:r w:rsidRPr="00424050">
        <w:rPr>
          <w:rFonts w:cs="Times New Roman"/>
        </w:rPr>
        <w:t>, Alessandria 2017, p. 144.</w:t>
      </w:r>
    </w:p>
  </w:footnote>
  <w:footnote w:id="20">
    <w:p w14:paraId="4B69049E" w14:textId="2A146D3E"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PAA</w:t>
      </w:r>
      <w:r w:rsidRPr="00424050">
        <w:rPr>
          <w:rFonts w:cs="Times New Roman"/>
        </w:rPr>
        <w:t xml:space="preserve"> 611335 = </w:t>
      </w:r>
      <w:r w:rsidRPr="00424050">
        <w:rPr>
          <w:rFonts w:cs="Times New Roman"/>
          <w:i/>
          <w:iCs/>
        </w:rPr>
        <w:t>APF</w:t>
      </w:r>
      <w:r w:rsidRPr="00424050">
        <w:rPr>
          <w:rFonts w:cs="Times New Roman"/>
        </w:rPr>
        <w:t xml:space="preserve"> 9521</w:t>
      </w:r>
      <w:r w:rsidR="0067497F" w:rsidRPr="00424050">
        <w:rPr>
          <w:rFonts w:cs="Times New Roman"/>
        </w:rPr>
        <w:t>.</w:t>
      </w:r>
    </w:p>
  </w:footnote>
  <w:footnote w:id="21">
    <w:p w14:paraId="16E30834" w14:textId="58E61C43"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Jacoby</w:t>
      </w:r>
      <w:r w:rsidRPr="00424050">
        <w:rPr>
          <w:rFonts w:cs="Times New Roman"/>
        </w:rPr>
        <w:t xml:space="preserve">, </w:t>
      </w:r>
      <w:r w:rsidR="00E928DE" w:rsidRPr="00424050">
        <w:rPr>
          <w:rFonts w:cs="Times New Roman"/>
          <w:i/>
          <w:iCs/>
        </w:rPr>
        <w:t>FGrHist</w:t>
      </w:r>
      <w:r w:rsidR="00E928DE" w:rsidRPr="00424050">
        <w:rPr>
          <w:rFonts w:cs="Times New Roman"/>
        </w:rPr>
        <w:t xml:space="preserve"> III b </w:t>
      </w:r>
      <w:r w:rsidR="00644379" w:rsidRPr="00424050">
        <w:rPr>
          <w:rFonts w:cs="Times New Roman"/>
        </w:rPr>
        <w:t xml:space="preserve">Suppl. 1, </w:t>
      </w:r>
      <w:r w:rsidRPr="00424050">
        <w:rPr>
          <w:rFonts w:cs="Times New Roman"/>
        </w:rPr>
        <w:t>p</w:t>
      </w:r>
      <w:r w:rsidR="00644379" w:rsidRPr="00424050">
        <w:rPr>
          <w:rFonts w:cs="Times New Roman"/>
        </w:rPr>
        <w:t xml:space="preserve">. </w:t>
      </w:r>
      <w:r w:rsidR="00E928DE" w:rsidRPr="00424050">
        <w:rPr>
          <w:rFonts w:cs="Times New Roman"/>
        </w:rPr>
        <w:t>172</w:t>
      </w:r>
      <w:r w:rsidR="00644379" w:rsidRPr="00424050">
        <w:rPr>
          <w:rFonts w:cs="Times New Roman"/>
        </w:rPr>
        <w:t>;</w:t>
      </w:r>
      <w:r w:rsidRPr="00424050">
        <w:rPr>
          <w:rFonts w:cs="Times New Roman"/>
        </w:rPr>
        <w:t xml:space="preserve"> recentemente è tornato sull’argomento E.M. </w:t>
      </w:r>
      <w:r w:rsidRPr="00424050">
        <w:rPr>
          <w:rFonts w:cs="Times New Roman"/>
          <w:smallCaps/>
        </w:rPr>
        <w:t>Harris</w:t>
      </w:r>
      <w:r w:rsidRPr="00424050">
        <w:rPr>
          <w:rFonts w:cs="Times New Roman"/>
        </w:rPr>
        <w:t xml:space="preserve">, </w:t>
      </w:r>
      <w:r w:rsidRPr="00424050">
        <w:rPr>
          <w:rFonts w:cs="Times New Roman"/>
          <w:i/>
          <w:iCs/>
        </w:rPr>
        <w:t>Legal Expertise and Legal Experts in Athenian De</w:t>
      </w:r>
      <w:r w:rsidR="000B007D" w:rsidRPr="00424050">
        <w:rPr>
          <w:rFonts w:cs="Times New Roman"/>
          <w:i/>
          <w:iCs/>
        </w:rPr>
        <w:t>m</w:t>
      </w:r>
      <w:r w:rsidRPr="00424050">
        <w:rPr>
          <w:rFonts w:cs="Times New Roman"/>
          <w:i/>
          <w:iCs/>
        </w:rPr>
        <w:t>ocracy</w:t>
      </w:r>
      <w:r w:rsidRPr="00424050">
        <w:rPr>
          <w:rFonts w:cs="Times New Roman"/>
        </w:rPr>
        <w:t>, «</w:t>
      </w:r>
      <w:r w:rsidR="0074710D" w:rsidRPr="00424050">
        <w:rPr>
          <w:rFonts w:cs="Times New Roman"/>
        </w:rPr>
        <w:t>JJP</w:t>
      </w:r>
      <w:r w:rsidRPr="00424050">
        <w:rPr>
          <w:rFonts w:cs="Times New Roman"/>
        </w:rPr>
        <w:t>» 50, 2020, pp</w:t>
      </w:r>
      <w:r w:rsidR="00580B4E" w:rsidRPr="00424050">
        <w:rPr>
          <w:rFonts w:cs="Times New Roman"/>
        </w:rPr>
        <w:t>.</w:t>
      </w:r>
      <w:r w:rsidRPr="00424050">
        <w:rPr>
          <w:rFonts w:cs="Times New Roman"/>
        </w:rPr>
        <w:t xml:space="preserve"> 156-158.</w:t>
      </w:r>
    </w:p>
  </w:footnote>
  <w:footnote w:id="22">
    <w:p w14:paraId="538BB21B" w14:textId="27AB37E9" w:rsidR="00F37E15" w:rsidRPr="00424050" w:rsidRDefault="00F37E15"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 personaggio</w:t>
      </w:r>
      <w:r w:rsidR="00D10E37" w:rsidRPr="00424050">
        <w:rPr>
          <w:rFonts w:cs="Times New Roman"/>
        </w:rPr>
        <w:t xml:space="preserve"> M.B. </w:t>
      </w:r>
      <w:r w:rsidR="00D10E37" w:rsidRPr="00424050">
        <w:rPr>
          <w:rFonts w:cs="Times New Roman"/>
          <w:smallCaps/>
        </w:rPr>
        <w:t>Savo</w:t>
      </w:r>
      <w:r w:rsidR="00D10E37" w:rsidRPr="00424050">
        <w:rPr>
          <w:rFonts w:cs="Times New Roman"/>
        </w:rPr>
        <w:t xml:space="preserve">, </w:t>
      </w:r>
      <w:r w:rsidR="00D10E37" w:rsidRPr="00424050">
        <w:rPr>
          <w:rFonts w:cs="Times New Roman"/>
          <w:i/>
          <w:iCs/>
        </w:rPr>
        <w:t>Fanodemo di Timetade</w:t>
      </w:r>
      <w:r w:rsidR="00D10E37" w:rsidRPr="00424050">
        <w:rPr>
          <w:rFonts w:cs="Times New Roman"/>
        </w:rPr>
        <w:t xml:space="preserve">, in </w:t>
      </w:r>
      <w:r w:rsidR="00D10E37" w:rsidRPr="00424050">
        <w:rPr>
          <w:rFonts w:cs="Times New Roman"/>
          <w:smallCaps/>
        </w:rPr>
        <w:t xml:space="preserve">Devillers </w:t>
      </w:r>
      <w:r w:rsidR="005703BF" w:rsidRPr="00424050">
        <w:rPr>
          <w:rFonts w:cs="Times New Roman"/>
          <w:smallCaps/>
        </w:rPr>
        <w:t>-</w:t>
      </w:r>
      <w:r w:rsidR="00530A9C" w:rsidRPr="00424050">
        <w:rPr>
          <w:rFonts w:cs="Times New Roman"/>
          <w:smallCaps/>
        </w:rPr>
        <w:t xml:space="preserve"> </w:t>
      </w:r>
      <w:r w:rsidR="00D10E37" w:rsidRPr="00424050">
        <w:rPr>
          <w:rFonts w:cs="Times New Roman"/>
          <w:smallCaps/>
        </w:rPr>
        <w:t>Sebastian</w:t>
      </w:r>
      <w:r w:rsidR="00D91D81" w:rsidRPr="00424050">
        <w:rPr>
          <w:rFonts w:cs="Times New Roman"/>
          <w:smallCaps/>
        </w:rPr>
        <w:t>i</w:t>
      </w:r>
      <w:r w:rsidR="00D91D81" w:rsidRPr="00424050">
        <w:rPr>
          <w:rFonts w:cs="Times New Roman"/>
        </w:rPr>
        <w:t xml:space="preserve"> (eds.), </w:t>
      </w:r>
      <w:r w:rsidR="00D10E37" w:rsidRPr="00424050">
        <w:rPr>
          <w:rFonts w:cs="Times New Roman"/>
          <w:i/>
          <w:iCs/>
        </w:rPr>
        <w:t>Sources et modèles des historiens anciens</w:t>
      </w:r>
      <w:r w:rsidR="00D10E37" w:rsidRPr="00424050">
        <w:rPr>
          <w:rFonts w:cs="Times New Roman"/>
        </w:rPr>
        <w:t>,</w:t>
      </w:r>
      <w:r w:rsidR="00530A9C" w:rsidRPr="00424050">
        <w:rPr>
          <w:rFonts w:cs="Times New Roman"/>
        </w:rPr>
        <w:t xml:space="preserve"> </w:t>
      </w:r>
      <w:r w:rsidR="00D91D81" w:rsidRPr="00424050">
        <w:rPr>
          <w:rFonts w:cs="Times New Roman"/>
        </w:rPr>
        <w:t>pp. 105-112 con bibliografia</w:t>
      </w:r>
      <w:r w:rsidR="005A50F4" w:rsidRPr="00424050">
        <w:rPr>
          <w:rFonts w:cs="Times New Roman"/>
        </w:rPr>
        <w:t xml:space="preserve"> precedente</w:t>
      </w:r>
      <w:r w:rsidR="00C209FD" w:rsidRPr="00424050">
        <w:rPr>
          <w:rFonts w:cs="Times New Roman"/>
        </w:rPr>
        <w:t>.</w:t>
      </w:r>
    </w:p>
  </w:footnote>
  <w:footnote w:id="23">
    <w:p w14:paraId="1EBE6E76" w14:textId="2D521219" w:rsidR="00E51BB6" w:rsidRPr="00424050" w:rsidRDefault="00E51BB6" w:rsidP="003B7BC3">
      <w:pPr>
        <w:autoSpaceDE w:val="0"/>
        <w:autoSpaceDN w:val="0"/>
        <w:adjustRightInd w:val="0"/>
        <w:jc w:val="both"/>
        <w:rPr>
          <w:rFonts w:cs="Times New Roman"/>
          <w:sz w:val="20"/>
          <w:szCs w:val="20"/>
        </w:rPr>
      </w:pPr>
      <w:r w:rsidRPr="00424050">
        <w:rPr>
          <w:rStyle w:val="Rimandonotaapidipagina"/>
          <w:rFonts w:cs="Times New Roman"/>
          <w:sz w:val="20"/>
          <w:szCs w:val="20"/>
        </w:rPr>
        <w:footnoteRef/>
      </w:r>
      <w:r w:rsidRPr="00424050">
        <w:rPr>
          <w:rFonts w:cs="Times New Roman"/>
          <w:sz w:val="20"/>
          <w:szCs w:val="20"/>
        </w:rPr>
        <w:t xml:space="preserve"> Sulla scelta può aver influito un</w:t>
      </w:r>
      <w:r w:rsidR="007167FC" w:rsidRPr="00424050">
        <w:rPr>
          <w:rFonts w:cs="Times New Roman"/>
          <w:sz w:val="20"/>
          <w:szCs w:val="20"/>
        </w:rPr>
        <w:t>’attenzione specifica volta al</w:t>
      </w:r>
      <w:r w:rsidRPr="00424050">
        <w:rPr>
          <w:rFonts w:cs="Times New Roman"/>
          <w:sz w:val="20"/>
          <w:szCs w:val="20"/>
        </w:rPr>
        <w:t xml:space="preserve"> supporto dell’economia de</w:t>
      </w:r>
      <w:r w:rsidR="007167FC" w:rsidRPr="00424050">
        <w:rPr>
          <w:rFonts w:cs="Times New Roman"/>
          <w:sz w:val="20"/>
          <w:szCs w:val="20"/>
        </w:rPr>
        <w:t>l</w:t>
      </w:r>
      <w:r w:rsidRPr="00424050">
        <w:rPr>
          <w:rFonts w:cs="Times New Roman"/>
          <w:sz w:val="20"/>
          <w:szCs w:val="20"/>
        </w:rPr>
        <w:t xml:space="preserve"> santuari</w:t>
      </w:r>
      <w:r w:rsidR="007167FC" w:rsidRPr="00424050">
        <w:rPr>
          <w:rFonts w:cs="Times New Roman"/>
          <w:sz w:val="20"/>
          <w:szCs w:val="20"/>
        </w:rPr>
        <w:t>o</w:t>
      </w:r>
      <w:r w:rsidRPr="00424050">
        <w:rPr>
          <w:rFonts w:cs="Times New Roman"/>
          <w:sz w:val="20"/>
          <w:szCs w:val="20"/>
        </w:rPr>
        <w:t>, le cui spese dovevano essere garantite dalle entrate de</w:t>
      </w:r>
      <w:r w:rsidR="007167FC" w:rsidRPr="00424050">
        <w:rPr>
          <w:rFonts w:cs="Times New Roman"/>
          <w:sz w:val="20"/>
          <w:szCs w:val="20"/>
        </w:rPr>
        <w:t>l centro</w:t>
      </w:r>
      <w:r w:rsidR="00CD57F6" w:rsidRPr="00424050">
        <w:rPr>
          <w:rFonts w:cs="Times New Roman"/>
          <w:sz w:val="20"/>
          <w:szCs w:val="20"/>
        </w:rPr>
        <w:t xml:space="preserve"> religioso</w:t>
      </w:r>
      <w:r w:rsidRPr="00424050">
        <w:rPr>
          <w:rFonts w:cs="Times New Roman"/>
          <w:sz w:val="20"/>
          <w:szCs w:val="20"/>
        </w:rPr>
        <w:t xml:space="preserve">, come </w:t>
      </w:r>
      <w:r w:rsidR="007167FC" w:rsidRPr="00424050">
        <w:rPr>
          <w:rFonts w:cs="Times New Roman"/>
          <w:sz w:val="20"/>
          <w:szCs w:val="20"/>
        </w:rPr>
        <w:t xml:space="preserve">già sottolineato in </w:t>
      </w:r>
      <w:r w:rsidRPr="00424050">
        <w:rPr>
          <w:rFonts w:cs="Times New Roman"/>
          <w:sz w:val="20"/>
          <w:szCs w:val="20"/>
        </w:rPr>
        <w:t xml:space="preserve">C. </w:t>
      </w:r>
      <w:r w:rsidRPr="00424050">
        <w:rPr>
          <w:rFonts w:cs="Times New Roman"/>
          <w:smallCaps/>
          <w:sz w:val="20"/>
          <w:szCs w:val="20"/>
        </w:rPr>
        <w:t>Ampolo</w:t>
      </w:r>
      <w:r w:rsidR="007167FC" w:rsidRPr="00424050">
        <w:rPr>
          <w:rFonts w:cs="Times New Roman"/>
          <w:smallCaps/>
          <w:sz w:val="20"/>
          <w:szCs w:val="20"/>
        </w:rPr>
        <w:t>,</w:t>
      </w:r>
      <w:r w:rsidRPr="00424050">
        <w:rPr>
          <w:rFonts w:cs="Times New Roman"/>
          <w:sz w:val="20"/>
          <w:szCs w:val="20"/>
        </w:rPr>
        <w:t xml:space="preserve"> </w:t>
      </w:r>
      <w:r w:rsidR="007167FC" w:rsidRPr="00424050">
        <w:rPr>
          <w:rFonts w:cs="Times New Roman"/>
          <w:i/>
          <w:iCs/>
          <w:sz w:val="20"/>
          <w:szCs w:val="20"/>
        </w:rPr>
        <w:t>Problemi delle cave di Pietra dell'Attica</w:t>
      </w:r>
      <w:r w:rsidR="007167FC" w:rsidRPr="00424050">
        <w:rPr>
          <w:rFonts w:cs="Times New Roman"/>
          <w:sz w:val="20"/>
          <w:szCs w:val="20"/>
        </w:rPr>
        <w:t xml:space="preserve">, in </w:t>
      </w:r>
      <w:r w:rsidR="007167FC" w:rsidRPr="00424050">
        <w:rPr>
          <w:rFonts w:cs="Times New Roman"/>
          <w:i/>
          <w:iCs/>
          <w:sz w:val="20"/>
          <w:szCs w:val="20"/>
        </w:rPr>
        <w:t>Architecture et société. De l'archaïsme grec à la fin de la République. Actes du Colloque international organisé par le Centre national de la recherche scientifique et l'École française de Rome (Rome 2-4 décembre 1980)</w:t>
      </w:r>
      <w:r w:rsidR="007167FC" w:rsidRPr="00424050">
        <w:rPr>
          <w:rFonts w:cs="Times New Roman"/>
          <w:sz w:val="20"/>
          <w:szCs w:val="20"/>
        </w:rPr>
        <w:t>, Rome 1983. pp. 75-77,</w:t>
      </w:r>
      <w:r w:rsidRPr="00424050">
        <w:rPr>
          <w:rFonts w:cs="Times New Roman"/>
          <w:sz w:val="20"/>
          <w:szCs w:val="20"/>
        </w:rPr>
        <w:t xml:space="preserve"> se non un preciso intento politico di ricordare altri contesti simbolicamente rilevanti, di questa pietra</w:t>
      </w:r>
      <w:r w:rsidR="007167FC" w:rsidRPr="00424050">
        <w:rPr>
          <w:rFonts w:cs="Times New Roman"/>
          <w:sz w:val="20"/>
          <w:szCs w:val="20"/>
        </w:rPr>
        <w:t>:</w:t>
      </w:r>
      <w:r w:rsidRPr="00424050">
        <w:rPr>
          <w:rFonts w:cs="Times New Roman"/>
          <w:sz w:val="20"/>
          <w:szCs w:val="20"/>
        </w:rPr>
        <w:t xml:space="preserve"> </w:t>
      </w:r>
      <w:r w:rsidR="007167FC" w:rsidRPr="00424050">
        <w:rPr>
          <w:rFonts w:cs="Times New Roman"/>
          <w:sz w:val="20"/>
          <w:szCs w:val="20"/>
        </w:rPr>
        <w:t xml:space="preserve">nel 357 la Bule dedicava una statua per i </w:t>
      </w:r>
      <w:r w:rsidR="00B329FE" w:rsidRPr="00424050">
        <w:rPr>
          <w:rFonts w:cs="Times New Roman"/>
          <w:sz w:val="20"/>
          <w:szCs w:val="20"/>
        </w:rPr>
        <w:t>Dodici Dei</w:t>
      </w:r>
      <w:r w:rsidR="007167FC" w:rsidRPr="00424050">
        <w:rPr>
          <w:rFonts w:cs="Times New Roman"/>
          <w:sz w:val="20"/>
          <w:szCs w:val="20"/>
        </w:rPr>
        <w:t xml:space="preserve"> su una base in calcare nero eleusino (</w:t>
      </w:r>
      <w:r w:rsidR="007167FC" w:rsidRPr="00424050">
        <w:rPr>
          <w:rFonts w:cs="Times New Roman"/>
          <w:i/>
          <w:iCs/>
          <w:sz w:val="20"/>
          <w:szCs w:val="20"/>
        </w:rPr>
        <w:t>IG</w:t>
      </w:r>
      <w:r w:rsidR="007167FC" w:rsidRPr="00424050">
        <w:rPr>
          <w:rFonts w:cs="Times New Roman"/>
          <w:sz w:val="20"/>
          <w:szCs w:val="20"/>
        </w:rPr>
        <w:t xml:space="preserve"> II</w:t>
      </w:r>
      <w:r w:rsidR="007167FC" w:rsidRPr="00424050">
        <w:rPr>
          <w:rFonts w:cs="Times New Roman"/>
          <w:sz w:val="20"/>
          <w:szCs w:val="20"/>
          <w:vertAlign w:val="superscript"/>
        </w:rPr>
        <w:t>2</w:t>
      </w:r>
      <w:r w:rsidR="007167FC" w:rsidRPr="00424050">
        <w:rPr>
          <w:rFonts w:cs="Times New Roman"/>
          <w:sz w:val="20"/>
          <w:szCs w:val="20"/>
        </w:rPr>
        <w:t xml:space="preserve"> 2790), nel 333/2 veniva dedicata dalla Bule </w:t>
      </w:r>
      <w:r w:rsidRPr="00424050">
        <w:rPr>
          <w:rFonts w:cs="Times New Roman"/>
          <w:sz w:val="20"/>
          <w:szCs w:val="20"/>
        </w:rPr>
        <w:t>la statua di Demo</w:t>
      </w:r>
      <w:r w:rsidR="00936125" w:rsidRPr="00424050">
        <w:rPr>
          <w:rFonts w:cs="Times New Roman"/>
          <w:sz w:val="20"/>
          <w:szCs w:val="20"/>
        </w:rPr>
        <w:t>c</w:t>
      </w:r>
      <w:r w:rsidRPr="00424050">
        <w:rPr>
          <w:rFonts w:cs="Times New Roman"/>
          <w:sz w:val="20"/>
          <w:szCs w:val="20"/>
        </w:rPr>
        <w:t>ra</w:t>
      </w:r>
      <w:r w:rsidR="00936125" w:rsidRPr="00424050">
        <w:rPr>
          <w:rFonts w:cs="Times New Roman"/>
          <w:sz w:val="20"/>
          <w:szCs w:val="20"/>
        </w:rPr>
        <w:t>z</w:t>
      </w:r>
      <w:r w:rsidRPr="00424050">
        <w:rPr>
          <w:rFonts w:cs="Times New Roman"/>
          <w:sz w:val="20"/>
          <w:szCs w:val="20"/>
        </w:rPr>
        <w:t>ia</w:t>
      </w:r>
      <w:r w:rsidR="007167FC" w:rsidRPr="00424050">
        <w:rPr>
          <w:rFonts w:cs="Times New Roman"/>
          <w:sz w:val="20"/>
          <w:szCs w:val="20"/>
        </w:rPr>
        <w:t xml:space="preserve"> con base in medesimo materiale</w:t>
      </w:r>
      <w:r w:rsidRPr="00424050">
        <w:rPr>
          <w:rFonts w:cs="Times New Roman"/>
          <w:sz w:val="20"/>
          <w:szCs w:val="20"/>
        </w:rPr>
        <w:t xml:space="preserve"> (</w:t>
      </w:r>
      <w:r w:rsidRPr="00424050">
        <w:rPr>
          <w:rFonts w:cs="Times New Roman"/>
          <w:i/>
          <w:iCs/>
          <w:sz w:val="20"/>
          <w:szCs w:val="20"/>
        </w:rPr>
        <w:t>IG</w:t>
      </w:r>
      <w:r w:rsidRPr="00424050">
        <w:rPr>
          <w:rFonts w:cs="Times New Roman"/>
          <w:sz w:val="20"/>
          <w:szCs w:val="20"/>
        </w:rPr>
        <w:t xml:space="preserve"> II</w:t>
      </w:r>
      <w:r w:rsidRPr="00424050">
        <w:rPr>
          <w:rFonts w:cs="Times New Roman"/>
          <w:sz w:val="20"/>
          <w:szCs w:val="20"/>
          <w:vertAlign w:val="superscript"/>
        </w:rPr>
        <w:t>2</w:t>
      </w:r>
      <w:r w:rsidRPr="00424050">
        <w:rPr>
          <w:rFonts w:cs="Times New Roman"/>
          <w:sz w:val="20"/>
          <w:szCs w:val="20"/>
        </w:rPr>
        <w:t xml:space="preserve"> 2791)</w:t>
      </w:r>
      <w:r w:rsidR="007167FC" w:rsidRPr="00424050">
        <w:rPr>
          <w:rFonts w:cs="Times New Roman"/>
          <w:sz w:val="20"/>
          <w:szCs w:val="20"/>
        </w:rPr>
        <w:t xml:space="preserve">, </w:t>
      </w:r>
      <w:r w:rsidRPr="00424050">
        <w:rPr>
          <w:rFonts w:cs="Times New Roman"/>
          <w:sz w:val="20"/>
          <w:szCs w:val="20"/>
        </w:rPr>
        <w:t>e nel 332/</w:t>
      </w:r>
      <w:r w:rsidR="00566B0B" w:rsidRPr="00424050">
        <w:rPr>
          <w:rFonts w:cs="Times New Roman"/>
          <w:sz w:val="20"/>
          <w:szCs w:val="20"/>
        </w:rPr>
        <w:t>1 veniva</w:t>
      </w:r>
      <w:r w:rsidR="007167FC" w:rsidRPr="00424050">
        <w:rPr>
          <w:rFonts w:cs="Times New Roman"/>
          <w:sz w:val="20"/>
          <w:szCs w:val="20"/>
        </w:rPr>
        <w:t xml:space="preserve"> dedicata </w:t>
      </w:r>
      <w:r w:rsidRPr="00424050">
        <w:rPr>
          <w:rFonts w:cs="Times New Roman"/>
          <w:sz w:val="20"/>
          <w:szCs w:val="20"/>
        </w:rPr>
        <w:t>una statua</w:t>
      </w:r>
      <w:r w:rsidR="007167FC" w:rsidRPr="00424050">
        <w:rPr>
          <w:rFonts w:cs="Times New Roman"/>
          <w:sz w:val="20"/>
          <w:szCs w:val="20"/>
        </w:rPr>
        <w:t xml:space="preserve">, probabilmente di </w:t>
      </w:r>
      <w:r w:rsidRPr="00424050">
        <w:rPr>
          <w:rFonts w:cs="Times New Roman"/>
          <w:sz w:val="20"/>
          <w:szCs w:val="20"/>
        </w:rPr>
        <w:t>Efesto</w:t>
      </w:r>
      <w:r w:rsidR="007167FC" w:rsidRPr="00424050">
        <w:rPr>
          <w:rFonts w:cs="Times New Roman"/>
          <w:sz w:val="20"/>
          <w:szCs w:val="20"/>
        </w:rPr>
        <w:t xml:space="preserve"> su base simile</w:t>
      </w:r>
      <w:r w:rsidR="002F4234" w:rsidRPr="00424050">
        <w:rPr>
          <w:rFonts w:cs="Times New Roman"/>
          <w:sz w:val="20"/>
          <w:szCs w:val="20"/>
        </w:rPr>
        <w:t xml:space="preserve"> (</w:t>
      </w:r>
      <w:r w:rsidR="002F4234" w:rsidRPr="00424050">
        <w:rPr>
          <w:rFonts w:cs="Times New Roman"/>
          <w:i/>
          <w:iCs/>
          <w:sz w:val="20"/>
          <w:szCs w:val="20"/>
        </w:rPr>
        <w:t>IG</w:t>
      </w:r>
      <w:r w:rsidR="002F4234" w:rsidRPr="00424050">
        <w:rPr>
          <w:rFonts w:cs="Times New Roman"/>
          <w:sz w:val="20"/>
          <w:szCs w:val="20"/>
        </w:rPr>
        <w:t xml:space="preserve"> II</w:t>
      </w:r>
      <w:r w:rsidR="002F4234" w:rsidRPr="00424050">
        <w:rPr>
          <w:rFonts w:cs="Times New Roman"/>
          <w:sz w:val="20"/>
          <w:szCs w:val="20"/>
          <w:vertAlign w:val="superscript"/>
        </w:rPr>
        <w:t>2</w:t>
      </w:r>
      <w:r w:rsidR="002F4234" w:rsidRPr="00424050">
        <w:rPr>
          <w:rFonts w:cs="Times New Roman"/>
          <w:sz w:val="20"/>
          <w:szCs w:val="20"/>
        </w:rPr>
        <w:t xml:space="preserve"> 2792)</w:t>
      </w:r>
      <w:r w:rsidRPr="00424050">
        <w:rPr>
          <w:rFonts w:cs="Times New Roman"/>
          <w:sz w:val="20"/>
          <w:szCs w:val="20"/>
        </w:rPr>
        <w:t>.</w:t>
      </w:r>
    </w:p>
  </w:footnote>
  <w:footnote w:id="24">
    <w:p w14:paraId="32EF0DD4" w14:textId="3FF62E5E" w:rsidR="003833F3" w:rsidRPr="00424050" w:rsidRDefault="003833F3"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Pr="00424050">
        <w:rPr>
          <w:rFonts w:cs="Times New Roman"/>
        </w:rPr>
        <w:t xml:space="preserve"> II</w:t>
      </w:r>
      <w:r w:rsidRPr="00424050">
        <w:rPr>
          <w:rFonts w:cs="Times New Roman"/>
          <w:vertAlign w:val="superscript"/>
        </w:rPr>
        <w:t>3</w:t>
      </w:r>
      <w:r w:rsidRPr="00424050">
        <w:rPr>
          <w:rFonts w:cs="Times New Roman"/>
        </w:rPr>
        <w:t xml:space="preserve"> </w:t>
      </w:r>
      <w:r w:rsidR="00E52D9B" w:rsidRPr="00424050">
        <w:rPr>
          <w:rFonts w:cs="Times New Roman"/>
        </w:rPr>
        <w:t xml:space="preserve">1, </w:t>
      </w:r>
      <w:r w:rsidRPr="00424050">
        <w:rPr>
          <w:rFonts w:cs="Times New Roman"/>
        </w:rPr>
        <w:t xml:space="preserve">389 (decreto onorario con dedica di magistrati); </w:t>
      </w:r>
      <w:r w:rsidR="006F47BE" w:rsidRPr="00424050">
        <w:rPr>
          <w:rFonts w:cs="Times New Roman"/>
          <w:i/>
          <w:iCs/>
        </w:rPr>
        <w:t>IG</w:t>
      </w:r>
      <w:r w:rsidR="006F47BE" w:rsidRPr="00424050">
        <w:rPr>
          <w:rFonts w:cs="Times New Roman"/>
        </w:rPr>
        <w:t xml:space="preserve"> II</w:t>
      </w:r>
      <w:r w:rsidR="006F47BE" w:rsidRPr="00424050">
        <w:rPr>
          <w:rFonts w:cs="Times New Roman"/>
          <w:vertAlign w:val="superscript"/>
        </w:rPr>
        <w:t>3</w:t>
      </w:r>
      <w:r w:rsidR="006F47BE" w:rsidRPr="00424050">
        <w:rPr>
          <w:rFonts w:cs="Times New Roman"/>
        </w:rPr>
        <w:t xml:space="preserve"> </w:t>
      </w:r>
      <w:r w:rsidR="00E52D9B" w:rsidRPr="00424050">
        <w:rPr>
          <w:rFonts w:cs="Times New Roman"/>
        </w:rPr>
        <w:t xml:space="preserve">1, </w:t>
      </w:r>
      <w:r w:rsidRPr="00424050">
        <w:rPr>
          <w:rFonts w:cs="Times New Roman"/>
        </w:rPr>
        <w:t>402 (decreto onorario</w:t>
      </w:r>
      <w:r w:rsidR="00E52D9B" w:rsidRPr="00424050">
        <w:rPr>
          <w:rFonts w:cs="Times New Roman"/>
        </w:rPr>
        <w:t xml:space="preserve"> per Chefisofonte di Peania</w:t>
      </w:r>
      <w:r w:rsidRPr="00424050">
        <w:rPr>
          <w:rFonts w:cs="Times New Roman"/>
        </w:rPr>
        <w:t xml:space="preserve">) e, con qualche dubbio, </w:t>
      </w:r>
      <w:r w:rsidR="006F47BE" w:rsidRPr="00424050">
        <w:rPr>
          <w:rFonts w:cs="Times New Roman"/>
          <w:i/>
          <w:iCs/>
        </w:rPr>
        <w:t>IG</w:t>
      </w:r>
      <w:r w:rsidR="006F47BE" w:rsidRPr="00424050">
        <w:rPr>
          <w:rFonts w:cs="Times New Roman"/>
        </w:rPr>
        <w:t xml:space="preserve"> II</w:t>
      </w:r>
      <w:r w:rsidR="006F47BE" w:rsidRPr="00424050">
        <w:rPr>
          <w:rFonts w:cs="Times New Roman"/>
          <w:vertAlign w:val="superscript"/>
        </w:rPr>
        <w:t>3</w:t>
      </w:r>
      <w:r w:rsidR="006F47BE" w:rsidRPr="00424050">
        <w:rPr>
          <w:rFonts w:cs="Times New Roman"/>
        </w:rPr>
        <w:t xml:space="preserve"> </w:t>
      </w:r>
      <w:r w:rsidRPr="00424050">
        <w:rPr>
          <w:rFonts w:cs="Times New Roman"/>
        </w:rPr>
        <w:t>410</w:t>
      </w:r>
      <w:r w:rsidR="00E52D9B" w:rsidRPr="00424050">
        <w:rPr>
          <w:rFonts w:cs="Times New Roman"/>
        </w:rPr>
        <w:t xml:space="preserve"> (decreto onorario)</w:t>
      </w:r>
      <w:r w:rsidR="001638F3" w:rsidRPr="00424050">
        <w:rPr>
          <w:rFonts w:cs="Times New Roman"/>
        </w:rPr>
        <w:t xml:space="preserve"> e </w:t>
      </w:r>
      <w:r w:rsidRPr="00424050">
        <w:rPr>
          <w:rFonts w:cs="Times New Roman"/>
          <w:i/>
          <w:iCs/>
        </w:rPr>
        <w:t>IG</w:t>
      </w:r>
      <w:r w:rsidRPr="00424050">
        <w:rPr>
          <w:rFonts w:cs="Times New Roman"/>
        </w:rPr>
        <w:t xml:space="preserve"> II</w:t>
      </w:r>
      <w:r w:rsidRPr="00424050">
        <w:rPr>
          <w:rFonts w:cs="Times New Roman"/>
          <w:vertAlign w:val="superscript"/>
        </w:rPr>
        <w:t>3</w:t>
      </w:r>
      <w:r w:rsidRPr="00424050">
        <w:rPr>
          <w:rFonts w:cs="Times New Roman"/>
        </w:rPr>
        <w:t xml:space="preserve"> 311 </w:t>
      </w:r>
      <w:r w:rsidR="008E69D3" w:rsidRPr="00424050">
        <w:rPr>
          <w:rFonts w:cs="Times New Roman"/>
        </w:rPr>
        <w:t xml:space="preserve">(decreto onorario </w:t>
      </w:r>
      <w:r w:rsidR="002D33C6" w:rsidRPr="00424050">
        <w:rPr>
          <w:rFonts w:cs="Times New Roman"/>
        </w:rPr>
        <w:t>per</w:t>
      </w:r>
      <w:r w:rsidRPr="00424050">
        <w:rPr>
          <w:rFonts w:cs="Times New Roman"/>
        </w:rPr>
        <w:t xml:space="preserve"> magistrati</w:t>
      </w:r>
      <w:r w:rsidR="008E69D3" w:rsidRPr="00424050">
        <w:rPr>
          <w:rFonts w:cs="Times New Roman"/>
        </w:rPr>
        <w:t>)</w:t>
      </w:r>
      <w:r w:rsidRPr="00424050">
        <w:rPr>
          <w:rFonts w:cs="Times New Roman"/>
        </w:rPr>
        <w:t>.</w:t>
      </w:r>
    </w:p>
  </w:footnote>
  <w:footnote w:id="25">
    <w:p w14:paraId="7D500216" w14:textId="1D78FA74" w:rsidR="003833F3" w:rsidRPr="00424050" w:rsidRDefault="003833F3"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La pietra eleusina, </w:t>
      </w:r>
      <w:r w:rsidR="008E69D3" w:rsidRPr="00424050">
        <w:rPr>
          <w:rFonts w:cs="Times New Roman"/>
        </w:rPr>
        <w:t>diffusamente</w:t>
      </w:r>
      <w:r w:rsidRPr="00424050">
        <w:rPr>
          <w:rFonts w:cs="Times New Roman"/>
        </w:rPr>
        <w:t xml:space="preserve"> utilizzata ad Eleusi, ebbe un massiccio impiego con Mnesi</w:t>
      </w:r>
      <w:r w:rsidR="002429D1" w:rsidRPr="00424050">
        <w:rPr>
          <w:rFonts w:cs="Times New Roman"/>
        </w:rPr>
        <w:t>cle</w:t>
      </w:r>
      <w:r w:rsidRPr="00424050">
        <w:rPr>
          <w:rFonts w:cs="Times New Roman"/>
        </w:rPr>
        <w:t xml:space="preserve">, architetto pericleo, considerato «the master of black stone architecture» (L.T. </w:t>
      </w:r>
      <w:r w:rsidRPr="00424050">
        <w:rPr>
          <w:rFonts w:cs="Times New Roman"/>
          <w:smallCaps/>
        </w:rPr>
        <w:t>Shoe</w:t>
      </w:r>
      <w:r w:rsidRPr="00424050">
        <w:rPr>
          <w:rFonts w:cs="Times New Roman"/>
        </w:rPr>
        <w:t xml:space="preserve">, </w:t>
      </w:r>
      <w:r w:rsidRPr="00424050">
        <w:rPr>
          <w:rFonts w:cs="Times New Roman"/>
          <w:i/>
          <w:iCs/>
        </w:rPr>
        <w:t>Dark Stone in Greek Architecture</w:t>
      </w:r>
      <w:r w:rsidRPr="00424050">
        <w:rPr>
          <w:rFonts w:cs="Times New Roman"/>
        </w:rPr>
        <w:t xml:space="preserve">, in </w:t>
      </w:r>
      <w:r w:rsidRPr="00424050">
        <w:rPr>
          <w:rFonts w:cs="Times New Roman"/>
          <w:i/>
          <w:iCs/>
        </w:rPr>
        <w:t>Commemorative Studies in Honor of Theodore Leslie Shear</w:t>
      </w:r>
      <w:r w:rsidRPr="00424050">
        <w:rPr>
          <w:rFonts w:cs="Times New Roman"/>
        </w:rPr>
        <w:t xml:space="preserve">, Princeton 1949, pp. 341-352, qui p. 343). Cfr. R.F. </w:t>
      </w:r>
      <w:r w:rsidRPr="00424050">
        <w:rPr>
          <w:rFonts w:cs="Times New Roman"/>
          <w:smallCaps/>
        </w:rPr>
        <w:t>Townsend</w:t>
      </w:r>
      <w:r w:rsidRPr="00424050">
        <w:rPr>
          <w:rFonts w:cs="Times New Roman"/>
        </w:rPr>
        <w:t xml:space="preserve">, </w:t>
      </w:r>
      <w:r w:rsidRPr="00424050">
        <w:rPr>
          <w:rFonts w:cs="Times New Roman"/>
          <w:i/>
          <w:iCs/>
        </w:rPr>
        <w:t>Classical Signs and Anti-Classical Signification in 4th-Century Athenian Architecture</w:t>
      </w:r>
      <w:r w:rsidRPr="00424050">
        <w:rPr>
          <w:rFonts w:cs="Times New Roman"/>
        </w:rPr>
        <w:t xml:space="preserve">, </w:t>
      </w:r>
      <w:r w:rsidR="00403487" w:rsidRPr="00424050">
        <w:rPr>
          <w:rFonts w:cs="Times New Roman"/>
        </w:rPr>
        <w:t>«</w:t>
      </w:r>
      <w:r w:rsidRPr="00424050">
        <w:rPr>
          <w:rFonts w:cs="Times New Roman"/>
        </w:rPr>
        <w:t>Hesperia</w:t>
      </w:r>
      <w:r w:rsidR="00403487" w:rsidRPr="00424050">
        <w:rPr>
          <w:rFonts w:cs="Times New Roman"/>
        </w:rPr>
        <w:t>»</w:t>
      </w:r>
      <w:r w:rsidRPr="00424050">
        <w:rPr>
          <w:rFonts w:cs="Times New Roman"/>
        </w:rPr>
        <w:t xml:space="preserve"> Suppl</w:t>
      </w:r>
      <w:r w:rsidR="006F47BE" w:rsidRPr="00424050">
        <w:rPr>
          <w:rFonts w:cs="Times New Roman"/>
        </w:rPr>
        <w:t>.</w:t>
      </w:r>
      <w:r w:rsidRPr="00424050">
        <w:rPr>
          <w:rFonts w:cs="Times New Roman"/>
        </w:rPr>
        <w:t xml:space="preserve"> </w:t>
      </w:r>
      <w:r w:rsidR="00BC346C" w:rsidRPr="00424050">
        <w:rPr>
          <w:rFonts w:cs="Times New Roman"/>
        </w:rPr>
        <w:t>33</w:t>
      </w:r>
      <w:r w:rsidRPr="00424050">
        <w:rPr>
          <w:rFonts w:cs="Times New Roman"/>
        </w:rPr>
        <w:t>, 2004, pp. 305</w:t>
      </w:r>
      <w:r w:rsidR="005703BF" w:rsidRPr="00424050">
        <w:rPr>
          <w:rFonts w:cs="Times New Roman"/>
        </w:rPr>
        <w:t>-</w:t>
      </w:r>
      <w:r w:rsidRPr="00424050">
        <w:rPr>
          <w:rFonts w:cs="Times New Roman"/>
        </w:rPr>
        <w:t xml:space="preserve">326; C. </w:t>
      </w:r>
      <w:r w:rsidRPr="00424050">
        <w:rPr>
          <w:rFonts w:cs="Times New Roman"/>
          <w:smallCaps/>
        </w:rPr>
        <w:t>Carusi</w:t>
      </w:r>
      <w:r w:rsidRPr="00E34779">
        <w:t xml:space="preserve">, </w:t>
      </w:r>
      <w:r w:rsidRPr="00424050">
        <w:rPr>
          <w:rFonts w:cs="Times New Roman"/>
          <w:i/>
          <w:iCs/>
        </w:rPr>
        <w:t>The Quarries of Attica Revisited</w:t>
      </w:r>
      <w:r w:rsidRPr="00424050">
        <w:rPr>
          <w:rFonts w:cs="Times New Roman"/>
        </w:rPr>
        <w:t xml:space="preserve">, in </w:t>
      </w:r>
      <w:r w:rsidRPr="00424050">
        <w:rPr>
          <w:rFonts w:cs="Times New Roman"/>
          <w:smallCaps/>
        </w:rPr>
        <w:t>C.F. Noreña, N. Papazarkadas</w:t>
      </w:r>
      <w:r w:rsidRPr="00424050">
        <w:rPr>
          <w:rFonts w:cs="Times New Roman"/>
        </w:rPr>
        <w:t xml:space="preserve"> (eds.), </w:t>
      </w:r>
      <w:r w:rsidRPr="00424050">
        <w:rPr>
          <w:rFonts w:cs="Times New Roman"/>
          <w:i/>
          <w:iCs/>
        </w:rPr>
        <w:t>From Document to History. Epigraphic Insights into the Greco-Roman World</w:t>
      </w:r>
      <w:r w:rsidRPr="00424050">
        <w:rPr>
          <w:rFonts w:cs="Times New Roman"/>
        </w:rPr>
        <w:t xml:space="preserve">, Leiden 2019, </w:t>
      </w:r>
      <w:r w:rsidR="006F47BE" w:rsidRPr="00424050">
        <w:rPr>
          <w:rFonts w:cs="Times New Roman"/>
        </w:rPr>
        <w:t xml:space="preserve">pp. </w:t>
      </w:r>
      <w:r w:rsidRPr="00424050">
        <w:rPr>
          <w:rFonts w:cs="Times New Roman"/>
        </w:rPr>
        <w:t>56-69.</w:t>
      </w:r>
    </w:p>
  </w:footnote>
  <w:footnote w:id="26">
    <w:p w14:paraId="110B8614" w14:textId="57C40E74"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Per l’utilizzo nelle grandi opere dell’Atene di età classica: </w:t>
      </w:r>
      <w:r w:rsidRPr="00424050">
        <w:rPr>
          <w:rFonts w:cs="Times New Roman"/>
          <w:smallCaps/>
        </w:rPr>
        <w:t>M.D. Dermitzakis -E. Tsiligaki</w:t>
      </w:r>
      <w:r w:rsidRPr="00424050">
        <w:rPr>
          <w:rFonts w:cs="Times New Roman"/>
        </w:rPr>
        <w:t xml:space="preserve"> </w:t>
      </w:r>
      <w:r w:rsidRPr="00424050">
        <w:rPr>
          <w:rFonts w:cs="Times New Roman"/>
          <w:i/>
          <w:iCs/>
        </w:rPr>
        <w:t>et alii.</w:t>
      </w:r>
      <w:r w:rsidR="002429D1" w:rsidRPr="00424050">
        <w:rPr>
          <w:rFonts w:cs="Times New Roman"/>
        </w:rPr>
        <w:t>,</w:t>
      </w:r>
      <w:r w:rsidRPr="00424050">
        <w:rPr>
          <w:rFonts w:cs="Times New Roman"/>
        </w:rPr>
        <w:t xml:space="preserve"> </w:t>
      </w:r>
      <w:r w:rsidRPr="00424050">
        <w:rPr>
          <w:rFonts w:cs="Times New Roman"/>
          <w:i/>
          <w:iCs/>
        </w:rPr>
        <w:t>The Blush Black Eleusinian Stone; Origin, Technical Features and Archaeological Data</w:t>
      </w:r>
      <w:r w:rsidRPr="00424050">
        <w:rPr>
          <w:rFonts w:cs="Times New Roman"/>
        </w:rPr>
        <w:t>, in «Mineral Wealth» 139, 2006, pp. 21-33.</w:t>
      </w:r>
    </w:p>
  </w:footnote>
  <w:footnote w:id="27">
    <w:p w14:paraId="022364A4" w14:textId="5B036111"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C209FD" w:rsidRPr="00424050">
        <w:rPr>
          <w:rFonts w:cs="Times New Roman"/>
        </w:rPr>
        <w:t xml:space="preserve">Uno degli ultimi utilizzi della pietra scura eleusina è nell’Arsenale, opera avviata da Eubulo e compiuta da Licurgo, dell’ultimo quarto del </w:t>
      </w:r>
      <w:r w:rsidR="002F4234" w:rsidRPr="00424050">
        <w:rPr>
          <w:rFonts w:cs="Times New Roman"/>
        </w:rPr>
        <w:t xml:space="preserve">IV </w:t>
      </w:r>
      <w:r w:rsidR="006F47BE" w:rsidRPr="00424050">
        <w:rPr>
          <w:rFonts w:cs="Times New Roman"/>
        </w:rPr>
        <w:t>secolo</w:t>
      </w:r>
      <w:r w:rsidR="002F4234" w:rsidRPr="00424050">
        <w:rPr>
          <w:rFonts w:cs="Times New Roman"/>
        </w:rPr>
        <w:t xml:space="preserve">: </w:t>
      </w:r>
      <w:r w:rsidR="002F4234" w:rsidRPr="00424050">
        <w:rPr>
          <w:rFonts w:cs="Times New Roman"/>
          <w:smallCaps/>
        </w:rPr>
        <w:t>Shoe</w:t>
      </w:r>
      <w:r w:rsidR="002F4234" w:rsidRPr="00424050">
        <w:rPr>
          <w:rFonts w:cs="Times New Roman"/>
        </w:rPr>
        <w:t xml:space="preserve">, </w:t>
      </w:r>
      <w:r w:rsidR="002F4234" w:rsidRPr="00424050">
        <w:rPr>
          <w:rFonts w:cs="Times New Roman"/>
          <w:i/>
          <w:iCs/>
        </w:rPr>
        <w:t>Dark Stone in Greek Architecture</w:t>
      </w:r>
      <w:r w:rsidR="002F4234" w:rsidRPr="00424050">
        <w:rPr>
          <w:rFonts w:cs="Times New Roman"/>
        </w:rPr>
        <w:t>, p. 351.</w:t>
      </w:r>
      <w:r w:rsidR="00C209FD" w:rsidRPr="00424050">
        <w:rPr>
          <w:rFonts w:cs="Times New Roman"/>
        </w:rPr>
        <w:t xml:space="preserve"> </w:t>
      </w:r>
      <w:r w:rsidRPr="00424050">
        <w:rPr>
          <w:rFonts w:cs="Times New Roman"/>
        </w:rPr>
        <w:t>L’avvio dei lavori, sappiamo da Eschine (3</w:t>
      </w:r>
      <w:r w:rsidR="00BC346C" w:rsidRPr="00424050">
        <w:rPr>
          <w:rFonts w:cs="Times New Roman"/>
        </w:rPr>
        <w:t>.</w:t>
      </w:r>
      <w:r w:rsidRPr="00424050">
        <w:rPr>
          <w:rFonts w:cs="Times New Roman"/>
        </w:rPr>
        <w:t xml:space="preserve">25), si ebbe sotto Eubulo e contribuirono all’avanzamento dei lavori </w:t>
      </w:r>
      <w:r w:rsidR="008C7AE9" w:rsidRPr="00424050">
        <w:rPr>
          <w:rFonts w:cs="Times New Roman"/>
        </w:rPr>
        <w:t xml:space="preserve">diversi </w:t>
      </w:r>
      <w:r w:rsidRPr="00424050">
        <w:rPr>
          <w:rFonts w:cs="Times New Roman"/>
        </w:rPr>
        <w:t>evergeti stranieri. Il cantiere</w:t>
      </w:r>
      <w:r w:rsidR="008C7AE9" w:rsidRPr="00424050">
        <w:rPr>
          <w:rFonts w:cs="Times New Roman"/>
        </w:rPr>
        <w:t xml:space="preserve"> </w:t>
      </w:r>
      <w:r w:rsidRPr="00424050">
        <w:rPr>
          <w:rFonts w:cs="Times New Roman"/>
        </w:rPr>
        <w:t>occupò gli anni compresi tra il 347/6 al 323/2 (</w:t>
      </w:r>
      <w:r w:rsidRPr="00424050">
        <w:rPr>
          <w:rFonts w:cs="Times New Roman"/>
          <w:i/>
          <w:iCs/>
        </w:rPr>
        <w:t>IG</w:t>
      </w:r>
      <w:r w:rsidRPr="00424050">
        <w:rPr>
          <w:rFonts w:cs="Times New Roman"/>
        </w:rPr>
        <w:t xml:space="preserve"> II</w:t>
      </w:r>
      <w:r w:rsidRPr="00424050">
        <w:rPr>
          <w:rFonts w:cs="Times New Roman"/>
          <w:vertAlign w:val="superscript"/>
        </w:rPr>
        <w:t>2</w:t>
      </w:r>
      <w:r w:rsidRPr="00424050">
        <w:rPr>
          <w:rFonts w:cs="Times New Roman"/>
        </w:rPr>
        <w:t xml:space="preserve"> 505, ll. 16-17), con pause concomitanti lo scontro con la potenza macedone (</w:t>
      </w:r>
      <w:r w:rsidR="002F4234" w:rsidRPr="00424050">
        <w:rPr>
          <w:rFonts w:cs="Times New Roman"/>
          <w:smallCaps/>
        </w:rPr>
        <w:t>Did</w:t>
      </w:r>
      <w:r w:rsidR="002F4234" w:rsidRPr="00424050">
        <w:rPr>
          <w:rFonts w:cs="Times New Roman"/>
        </w:rPr>
        <w:t>., &lt;</w:t>
      </w:r>
      <w:r w:rsidR="002F4234" w:rsidRPr="00424050">
        <w:rPr>
          <w:rFonts w:cs="Times New Roman"/>
          <w:i/>
          <w:iCs/>
        </w:rPr>
        <w:t>in D</w:t>
      </w:r>
      <w:r w:rsidR="002F4234" w:rsidRPr="00424050">
        <w:rPr>
          <w:rFonts w:cs="Times New Roman"/>
        </w:rPr>
        <w:t xml:space="preserve">. 10.17, col. I. 67-72 = </w:t>
      </w:r>
      <w:r w:rsidRPr="00424050">
        <w:rPr>
          <w:rFonts w:cs="Times New Roman"/>
          <w:smallCaps/>
        </w:rPr>
        <w:t>Philoc</w:t>
      </w:r>
      <w:r w:rsidRPr="00424050">
        <w:rPr>
          <w:rFonts w:cs="Times New Roman"/>
        </w:rPr>
        <w:t>.</w:t>
      </w:r>
      <w:r w:rsidR="00BC346C" w:rsidRPr="00424050">
        <w:rPr>
          <w:rFonts w:cs="Times New Roman"/>
        </w:rPr>
        <w:t xml:space="preserve">, </w:t>
      </w:r>
      <w:r w:rsidR="00BC346C" w:rsidRPr="00424050">
        <w:rPr>
          <w:rFonts w:cs="Times New Roman"/>
          <w:i/>
          <w:iCs/>
        </w:rPr>
        <w:t>FGrHist</w:t>
      </w:r>
      <w:r w:rsidR="00BC346C" w:rsidRPr="00424050">
        <w:rPr>
          <w:rFonts w:cs="Times New Roman"/>
        </w:rPr>
        <w:t xml:space="preserve"> 328,</w:t>
      </w:r>
      <w:r w:rsidRPr="00424050">
        <w:rPr>
          <w:rFonts w:cs="Times New Roman"/>
        </w:rPr>
        <w:t xml:space="preserve"> F56a; </w:t>
      </w:r>
      <w:r w:rsidR="00BC346C" w:rsidRPr="00424050">
        <w:rPr>
          <w:rFonts w:cs="Times New Roman"/>
        </w:rPr>
        <w:t xml:space="preserve">V. </w:t>
      </w:r>
      <w:r w:rsidRPr="00424050">
        <w:rPr>
          <w:rFonts w:cs="Times New Roman"/>
          <w:smallCaps/>
        </w:rPr>
        <w:t>Costa</w:t>
      </w:r>
      <w:r w:rsidR="00BC346C" w:rsidRPr="00424050">
        <w:rPr>
          <w:rFonts w:cs="Times New Roman"/>
          <w:smallCaps/>
        </w:rPr>
        <w:t xml:space="preserve">, </w:t>
      </w:r>
      <w:r w:rsidR="00BC346C" w:rsidRPr="00424050">
        <w:rPr>
          <w:rFonts w:cs="Times New Roman"/>
          <w:i/>
          <w:iCs/>
        </w:rPr>
        <w:t>Filocoro di Atene</w:t>
      </w:r>
      <w:r w:rsidR="00AF0883" w:rsidRPr="00424050">
        <w:rPr>
          <w:rFonts w:cs="Times New Roman"/>
          <w:i/>
          <w:iCs/>
        </w:rPr>
        <w:t>. Testimonianze e frammenti dell’Atthis</w:t>
      </w:r>
      <w:r w:rsidR="00BC346C" w:rsidRPr="00424050">
        <w:rPr>
          <w:rFonts w:cs="Times New Roman"/>
        </w:rPr>
        <w:t>, Tivoli 2007</w:t>
      </w:r>
      <w:r w:rsidR="00AF0883" w:rsidRPr="00424050">
        <w:rPr>
          <w:rFonts w:cs="Times New Roman"/>
        </w:rPr>
        <w:t>, p.</w:t>
      </w:r>
      <w:r w:rsidRPr="00424050">
        <w:rPr>
          <w:rFonts w:cs="Times New Roman"/>
        </w:rPr>
        <w:t xml:space="preserve"> 338); i lavori furono conclusi sotto Licurgo: </w:t>
      </w:r>
      <w:r w:rsidR="00C55DD6">
        <w:rPr>
          <w:rFonts w:cs="Times New Roman"/>
        </w:rPr>
        <w:t>[</w:t>
      </w:r>
      <w:r w:rsidRPr="00424050">
        <w:rPr>
          <w:rFonts w:cs="Times New Roman"/>
          <w:smallCaps/>
        </w:rPr>
        <w:t>Plu</w:t>
      </w:r>
      <w:r w:rsidR="00C55DD6">
        <w:rPr>
          <w:rFonts w:cs="Times New Roman"/>
          <w:smallCaps/>
        </w:rPr>
        <w:t>t</w:t>
      </w:r>
      <w:r w:rsidRPr="00424050">
        <w:rPr>
          <w:rFonts w:cs="Times New Roman"/>
        </w:rPr>
        <w:t>.</w:t>
      </w:r>
      <w:r w:rsidR="00C55DD6" w:rsidRPr="00C55DD6">
        <w:t>]</w:t>
      </w:r>
      <w:r w:rsidRPr="00C55DD6">
        <w:t xml:space="preserve"> </w:t>
      </w:r>
      <w:r w:rsidR="003E46EA" w:rsidRPr="00424050">
        <w:rPr>
          <w:rFonts w:cs="Times New Roman"/>
          <w:i/>
          <w:iCs/>
        </w:rPr>
        <w:t>V</w:t>
      </w:r>
      <w:r w:rsidRPr="00424050">
        <w:rPr>
          <w:rFonts w:cs="Times New Roman"/>
          <w:i/>
          <w:iCs/>
        </w:rPr>
        <w:t>it</w:t>
      </w:r>
      <w:r w:rsidR="00C55DD6">
        <w:rPr>
          <w:rFonts w:cs="Times New Roman"/>
          <w:i/>
          <w:iCs/>
        </w:rPr>
        <w:t>a</w:t>
      </w:r>
      <w:r w:rsidRPr="00424050">
        <w:rPr>
          <w:rFonts w:cs="Times New Roman"/>
          <w:i/>
          <w:iCs/>
        </w:rPr>
        <w:t xml:space="preserve"> X or.</w:t>
      </w:r>
      <w:r w:rsidRPr="00424050">
        <w:rPr>
          <w:rFonts w:cs="Times New Roman"/>
        </w:rPr>
        <w:t xml:space="preserve"> 852a. Un blocco di pietra blu di Eleusi conserva il capitolato del</w:t>
      </w:r>
      <w:r w:rsidR="008E69D3" w:rsidRPr="00424050">
        <w:rPr>
          <w:rFonts w:cs="Times New Roman"/>
        </w:rPr>
        <w:t>l’</w:t>
      </w:r>
      <w:r w:rsidRPr="00424050">
        <w:rPr>
          <w:rFonts w:cs="Times New Roman"/>
        </w:rPr>
        <w:t>architetto</w:t>
      </w:r>
      <w:r w:rsidR="00A03B4E" w:rsidRPr="00424050">
        <w:rPr>
          <w:rFonts w:cs="Times New Roman"/>
        </w:rPr>
        <w:t xml:space="preserve"> Filone</w:t>
      </w:r>
      <w:r w:rsidR="006F699A" w:rsidRPr="00424050">
        <w:rPr>
          <w:rFonts w:cs="Times New Roman"/>
        </w:rPr>
        <w:t xml:space="preserve">: </w:t>
      </w:r>
      <w:r w:rsidRPr="00424050">
        <w:rPr>
          <w:rFonts w:cs="Times New Roman"/>
          <w:i/>
          <w:iCs/>
        </w:rPr>
        <w:t>IG</w:t>
      </w:r>
      <w:r w:rsidRPr="00424050">
        <w:rPr>
          <w:rFonts w:cs="Times New Roman"/>
        </w:rPr>
        <w:t xml:space="preserve"> II</w:t>
      </w:r>
      <w:r w:rsidRPr="00424050">
        <w:rPr>
          <w:rFonts w:cs="Times New Roman"/>
          <w:vertAlign w:val="superscript"/>
        </w:rPr>
        <w:t>2</w:t>
      </w:r>
      <w:r w:rsidRPr="00424050">
        <w:rPr>
          <w:rFonts w:cs="Times New Roman"/>
        </w:rPr>
        <w:t xml:space="preserve"> 1668. Su</w:t>
      </w:r>
      <w:r w:rsidR="00A03B4E" w:rsidRPr="00424050">
        <w:rPr>
          <w:rFonts w:cs="Times New Roman"/>
        </w:rPr>
        <w:t xml:space="preserve"> Filone: </w:t>
      </w:r>
      <w:r w:rsidRPr="00424050">
        <w:rPr>
          <w:rFonts w:cs="Times New Roman"/>
        </w:rPr>
        <w:t xml:space="preserve">G. </w:t>
      </w:r>
      <w:r w:rsidRPr="00424050">
        <w:rPr>
          <w:rFonts w:cs="Times New Roman"/>
          <w:smallCaps/>
        </w:rPr>
        <w:t>Marginesu</w:t>
      </w:r>
      <w:r w:rsidRPr="00424050">
        <w:rPr>
          <w:rFonts w:cs="Times New Roman"/>
        </w:rPr>
        <w:t xml:space="preserve">, </w:t>
      </w:r>
      <w:r w:rsidR="00350EB0" w:rsidRPr="00424050">
        <w:rPr>
          <w:rFonts w:cs="Times New Roman"/>
          <w:i/>
          <w:iCs/>
        </w:rPr>
        <w:t xml:space="preserve">Architetti, scrittura e retorica nell’Atene </w:t>
      </w:r>
      <w:r w:rsidR="00350EB0" w:rsidRPr="00424050">
        <w:rPr>
          <w:rFonts w:cs="Times New Roman"/>
        </w:rPr>
        <w:t>classica</w:t>
      </w:r>
      <w:r w:rsidR="001F1EF2" w:rsidRPr="00424050">
        <w:rPr>
          <w:rFonts w:cs="Times New Roman"/>
        </w:rPr>
        <w:t>, «</w:t>
      </w:r>
      <w:r w:rsidRPr="00424050">
        <w:rPr>
          <w:rFonts w:cs="Times New Roman"/>
        </w:rPr>
        <w:t>ASAIA</w:t>
      </w:r>
      <w:r w:rsidR="001F1EF2" w:rsidRPr="00424050">
        <w:rPr>
          <w:rFonts w:cs="Times New Roman"/>
        </w:rPr>
        <w:t>»</w:t>
      </w:r>
      <w:r w:rsidRPr="00424050">
        <w:rPr>
          <w:rFonts w:cs="Times New Roman"/>
        </w:rPr>
        <w:t xml:space="preserve"> 91, 3, 13, 2013, p. 63 e n</w:t>
      </w:r>
      <w:r w:rsidR="00EF2572" w:rsidRPr="00424050">
        <w:rPr>
          <w:rFonts w:cs="Times New Roman"/>
        </w:rPr>
        <w:t>ota</w:t>
      </w:r>
      <w:r w:rsidRPr="00424050">
        <w:rPr>
          <w:rFonts w:cs="Times New Roman"/>
        </w:rPr>
        <w:t xml:space="preserve"> 26.</w:t>
      </w:r>
    </w:p>
  </w:footnote>
  <w:footnote w:id="28">
    <w:p w14:paraId="22D8A3F9" w14:textId="4E3A4ABD"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Per uno </w:t>
      </w:r>
      <w:r w:rsidRPr="00424050">
        <w:rPr>
          <w:rFonts w:cs="Times New Roman"/>
          <w:i/>
          <w:iCs/>
        </w:rPr>
        <w:t>status quaestionis</w:t>
      </w:r>
      <w:r w:rsidRPr="00424050">
        <w:rPr>
          <w:rFonts w:cs="Times New Roman"/>
        </w:rPr>
        <w:t xml:space="preserve"> sull’identificazione delle cave: </w:t>
      </w:r>
      <w:r w:rsidRPr="00424050">
        <w:rPr>
          <w:rFonts w:cs="Times New Roman"/>
          <w:smallCaps/>
        </w:rPr>
        <w:t>Marchiandi</w:t>
      </w:r>
      <w:r w:rsidRPr="00424050">
        <w:rPr>
          <w:rFonts w:cs="Times New Roman"/>
        </w:rPr>
        <w:t xml:space="preserve">, </w:t>
      </w:r>
      <w:r w:rsidR="00EF2572" w:rsidRPr="00424050">
        <w:rPr>
          <w:rFonts w:cs="Times New Roman"/>
          <w:i/>
          <w:iCs/>
        </w:rPr>
        <w:t>C</w:t>
      </w:r>
      <w:r w:rsidRPr="00424050">
        <w:rPr>
          <w:rFonts w:cs="Times New Roman"/>
          <w:i/>
          <w:iCs/>
        </w:rPr>
        <w:t>ontiguità pericolose</w:t>
      </w:r>
      <w:r w:rsidRPr="00424050">
        <w:rPr>
          <w:rFonts w:cs="Times New Roman"/>
        </w:rPr>
        <w:t>, p</w:t>
      </w:r>
      <w:r w:rsidR="00E34779">
        <w:rPr>
          <w:rFonts w:cs="Times New Roman"/>
        </w:rPr>
        <w:t>p</w:t>
      </w:r>
      <w:r w:rsidRPr="00424050">
        <w:rPr>
          <w:rFonts w:cs="Times New Roman"/>
        </w:rPr>
        <w:t>. 137</w:t>
      </w:r>
      <w:r w:rsidR="00E34779">
        <w:rPr>
          <w:rFonts w:cs="Times New Roman"/>
        </w:rPr>
        <w:t>-138</w:t>
      </w:r>
      <w:r w:rsidR="00EF2572" w:rsidRPr="00424050">
        <w:rPr>
          <w:rFonts w:cs="Times New Roman"/>
        </w:rPr>
        <w:t xml:space="preserve"> e</w:t>
      </w:r>
      <w:r w:rsidRPr="00424050">
        <w:rPr>
          <w:rFonts w:cs="Times New Roman"/>
        </w:rPr>
        <w:t xml:space="preserve"> nota 17.</w:t>
      </w:r>
    </w:p>
  </w:footnote>
  <w:footnote w:id="29">
    <w:p w14:paraId="6C174A5E" w14:textId="40356728" w:rsidR="00E51BB6" w:rsidRPr="00424050" w:rsidRDefault="00E51BB6" w:rsidP="00424050">
      <w:pPr>
        <w:pStyle w:val="Testonotaapidipagina"/>
      </w:pPr>
      <w:r w:rsidRPr="00424050">
        <w:rPr>
          <w:rStyle w:val="Rimandonotaapidipagina"/>
          <w:rFonts w:cs="Times New Roman"/>
        </w:rPr>
        <w:footnoteRef/>
      </w:r>
      <w:r w:rsidRPr="00424050">
        <w:t xml:space="preserve"> </w:t>
      </w:r>
      <w:r w:rsidR="00DF3BEB" w:rsidRPr="00424050">
        <w:rPr>
          <w:smallCaps/>
        </w:rPr>
        <w:t>Ampolo</w:t>
      </w:r>
      <w:r w:rsidR="00DF3BEB" w:rsidRPr="00424050">
        <w:t xml:space="preserve">, </w:t>
      </w:r>
      <w:r w:rsidR="00DF3BEB" w:rsidRPr="00424050">
        <w:rPr>
          <w:i/>
          <w:iCs/>
        </w:rPr>
        <w:t>Problemi delle cave di pietra dell’Attica</w:t>
      </w:r>
      <w:r w:rsidR="00DF3BEB" w:rsidRPr="00424050">
        <w:t>,</w:t>
      </w:r>
      <w:r w:rsidR="002D33C6" w:rsidRPr="00424050">
        <w:t xml:space="preserve"> </w:t>
      </w:r>
      <w:r w:rsidR="00DF3BEB" w:rsidRPr="00424050">
        <w:t xml:space="preserve">pp. 75-77. </w:t>
      </w:r>
      <w:r w:rsidRPr="00424050">
        <w:t>Il luogo di culto non è stato individuato: è possibile fosse direttamente connesso all’area mineraria, quindi, da ricercare sulla collina a nord dell’</w:t>
      </w:r>
      <w:r w:rsidRPr="00424050">
        <w:rPr>
          <w:i/>
          <w:iCs/>
        </w:rPr>
        <w:t>Eleusinion</w:t>
      </w:r>
      <w:r w:rsidRPr="00424050">
        <w:t xml:space="preserve">, come d’altro canto suggerisce l’indicazione </w:t>
      </w:r>
      <w:r w:rsidRPr="00424050">
        <w:rPr>
          <w:i/>
          <w:iCs/>
        </w:rPr>
        <w:t xml:space="preserve">en </w:t>
      </w:r>
      <w:r w:rsidR="0002202F" w:rsidRPr="00424050">
        <w:rPr>
          <w:i/>
          <w:iCs/>
        </w:rPr>
        <w:t>a</w:t>
      </w:r>
      <w:r w:rsidRPr="00424050">
        <w:rPr>
          <w:i/>
          <w:iCs/>
        </w:rPr>
        <w:t>kri</w:t>
      </w:r>
      <w:r w:rsidRPr="00424050">
        <w:t>. Su</w:t>
      </w:r>
      <w:r w:rsidR="00601DC9" w:rsidRPr="00424050">
        <w:t xml:space="preserve">i decreti relativi all’affitto delle cave di pietra eleusina: </w:t>
      </w:r>
      <w:r w:rsidR="00DC275F" w:rsidRPr="00424050">
        <w:rPr>
          <w:i/>
          <w:iCs/>
        </w:rPr>
        <w:t>SEG</w:t>
      </w:r>
      <w:r w:rsidR="00DC275F" w:rsidRPr="00424050">
        <w:t xml:space="preserve"> 59, 143 = </w:t>
      </w:r>
      <w:r w:rsidRPr="00424050">
        <w:rPr>
          <w:i/>
          <w:iCs/>
        </w:rPr>
        <w:t>IEleusis</w:t>
      </w:r>
      <w:r w:rsidRPr="00424050">
        <w:t xml:space="preserve"> 85 (332/1)</w:t>
      </w:r>
      <w:r w:rsidR="00601DC9" w:rsidRPr="00424050">
        <w:t xml:space="preserve">; </w:t>
      </w:r>
      <w:r w:rsidRPr="00424050">
        <w:rPr>
          <w:smallCaps/>
        </w:rPr>
        <w:t xml:space="preserve">D. Gofas </w:t>
      </w:r>
      <w:r w:rsidR="005703BF" w:rsidRPr="00424050">
        <w:rPr>
          <w:smallCaps/>
        </w:rPr>
        <w:t>-</w:t>
      </w:r>
      <w:r w:rsidRPr="00424050">
        <w:rPr>
          <w:smallCaps/>
        </w:rPr>
        <w:t xml:space="preserve"> S.N. Coumanoudis</w:t>
      </w:r>
      <w:r w:rsidRPr="00424050">
        <w:t xml:space="preserve">, </w:t>
      </w:r>
      <w:r w:rsidRPr="00424050">
        <w:rPr>
          <w:i/>
          <w:iCs/>
        </w:rPr>
        <w:t>Deux décrets inédits d'Éleusis</w:t>
      </w:r>
      <w:r w:rsidRPr="00424050">
        <w:t xml:space="preserve">, </w:t>
      </w:r>
      <w:r w:rsidR="00CE51D3" w:rsidRPr="00424050">
        <w:t>«</w:t>
      </w:r>
      <w:r w:rsidRPr="00424050">
        <w:rPr>
          <w:rStyle w:val="Enfasicorsivo"/>
          <w:rFonts w:cs="Times New Roman"/>
          <w:i w:val="0"/>
          <w:iCs w:val="0"/>
        </w:rPr>
        <w:t>REG</w:t>
      </w:r>
      <w:r w:rsidR="00CE51D3" w:rsidRPr="00424050">
        <w:rPr>
          <w:rStyle w:val="Enfasicorsivo"/>
          <w:rFonts w:cs="Times New Roman"/>
          <w:i w:val="0"/>
          <w:iCs w:val="0"/>
        </w:rPr>
        <w:t>»</w:t>
      </w:r>
      <w:r w:rsidRPr="00424050">
        <w:t xml:space="preserve"> 91, 1978, pp. 289-306; </w:t>
      </w:r>
      <w:r w:rsidR="00CE51D3" w:rsidRPr="00424050">
        <w:t xml:space="preserve">M. </w:t>
      </w:r>
      <w:r w:rsidRPr="00424050">
        <w:rPr>
          <w:smallCaps/>
        </w:rPr>
        <w:t>Faraguna</w:t>
      </w:r>
      <w:r w:rsidRPr="00424050">
        <w:t xml:space="preserve"> </w:t>
      </w:r>
      <w:r w:rsidRPr="00424050">
        <w:rPr>
          <w:rFonts w:eastAsia="Times New Roman"/>
          <w:i/>
          <w:iCs/>
          <w:lang w:eastAsia="it-IT"/>
        </w:rPr>
        <w:t>Atene nell’età di Alessandro: Problemi politici, economici, finanziari,</w:t>
      </w:r>
      <w:r w:rsidRPr="00424050">
        <w:rPr>
          <w:rFonts w:eastAsia="Times New Roman"/>
          <w:lang w:eastAsia="it-IT"/>
        </w:rPr>
        <w:t xml:space="preserve"> Roma </w:t>
      </w:r>
      <w:r w:rsidRPr="00424050">
        <w:t xml:space="preserve">1992, p. 346; S. </w:t>
      </w:r>
      <w:r w:rsidRPr="00424050">
        <w:rPr>
          <w:smallCaps/>
        </w:rPr>
        <w:t>Allipheri</w:t>
      </w:r>
      <w:r w:rsidRPr="00424050">
        <w:t xml:space="preserve">, </w:t>
      </w:r>
      <w:r w:rsidRPr="00424050">
        <w:rPr>
          <w:i/>
          <w:iCs/>
        </w:rPr>
        <w:t xml:space="preserve">The Eleusinian Decrees </w:t>
      </w:r>
      <w:r w:rsidRPr="00424050">
        <w:rPr>
          <w:rStyle w:val="Enfasicorsivo"/>
          <w:rFonts w:cs="Times New Roman"/>
        </w:rPr>
        <w:t>REG</w:t>
      </w:r>
      <w:r w:rsidRPr="00424050">
        <w:rPr>
          <w:i/>
          <w:iCs/>
        </w:rPr>
        <w:t xml:space="preserve"> 91 (1978) 289</w:t>
      </w:r>
      <w:r w:rsidR="005703BF" w:rsidRPr="00424050">
        <w:rPr>
          <w:i/>
          <w:iCs/>
        </w:rPr>
        <w:t>-</w:t>
      </w:r>
      <w:r w:rsidRPr="00424050">
        <w:rPr>
          <w:i/>
          <w:iCs/>
        </w:rPr>
        <w:t>306 Reconsidered</w:t>
      </w:r>
      <w:r w:rsidRPr="00424050">
        <w:t xml:space="preserve">, in </w:t>
      </w:r>
      <w:r w:rsidRPr="00424050">
        <w:rPr>
          <w:smallCaps/>
        </w:rPr>
        <w:t xml:space="preserve">A.A. Themos - N. Papazarkadas </w:t>
      </w:r>
      <w:r w:rsidRPr="00424050">
        <w:t xml:space="preserve">(eds.), </w:t>
      </w:r>
      <w:r w:rsidRPr="00424050">
        <w:rPr>
          <w:i/>
          <w:iCs/>
        </w:rPr>
        <w:t xml:space="preserve">Ἀττικὰ ἐπιγραφικά. Μελέτες πρὸς τιμὴν τοῦ </w:t>
      </w:r>
      <w:r w:rsidRPr="00424050">
        <w:rPr>
          <w:rStyle w:val="Enfasicorsivo"/>
          <w:rFonts w:cs="Times New Roman"/>
        </w:rPr>
        <w:t>Christian Habicht</w:t>
      </w:r>
      <w:r w:rsidRPr="00424050">
        <w:t>, Athens 2009, pp. 187</w:t>
      </w:r>
      <w:r w:rsidR="005703BF" w:rsidRPr="00424050">
        <w:t>-</w:t>
      </w:r>
      <w:r w:rsidR="00DC275F" w:rsidRPr="00424050">
        <w:t>1</w:t>
      </w:r>
      <w:r w:rsidRPr="00424050">
        <w:t xml:space="preserve">91; N. </w:t>
      </w:r>
      <w:r w:rsidRPr="00424050">
        <w:rPr>
          <w:smallCaps/>
        </w:rPr>
        <w:t>Papazarkadas</w:t>
      </w:r>
      <w:r w:rsidRPr="00424050">
        <w:t xml:space="preserve">, </w:t>
      </w:r>
      <w:r w:rsidRPr="00424050">
        <w:rPr>
          <w:rStyle w:val="Enfasicorsivo"/>
          <w:rFonts w:cs="Times New Roman"/>
        </w:rPr>
        <w:t>Sacred and Public Land in Ancient Athens</w:t>
      </w:r>
      <w:r w:rsidRPr="00424050">
        <w:rPr>
          <w:rStyle w:val="series-title"/>
          <w:rFonts w:cs="Times New Roman"/>
        </w:rPr>
        <w:t xml:space="preserve">, </w:t>
      </w:r>
      <w:r w:rsidRPr="00424050">
        <w:rPr>
          <w:rStyle w:val="publisher-location"/>
          <w:rFonts w:cs="Times New Roman"/>
        </w:rPr>
        <w:t xml:space="preserve">Oxford </w:t>
      </w:r>
      <w:r w:rsidRPr="00424050">
        <w:rPr>
          <w:rStyle w:val="print-publication-date"/>
          <w:rFonts w:cs="Times New Roman"/>
        </w:rPr>
        <w:t>2011, p</w:t>
      </w:r>
      <w:r w:rsidRPr="00424050">
        <w:t>p. 140-141</w:t>
      </w:r>
      <w:r w:rsidR="00A03B4E" w:rsidRPr="00424050">
        <w:t xml:space="preserve">; E. </w:t>
      </w:r>
      <w:r w:rsidR="00A03B4E" w:rsidRPr="00424050">
        <w:rPr>
          <w:smallCaps/>
        </w:rPr>
        <w:t>Lupu</w:t>
      </w:r>
      <w:r w:rsidR="00A03B4E" w:rsidRPr="00424050">
        <w:t xml:space="preserve">, </w:t>
      </w:r>
      <w:r w:rsidR="00A03B4E" w:rsidRPr="00424050">
        <w:rPr>
          <w:i/>
          <w:iCs/>
        </w:rPr>
        <w:t>Greek Sacred Law. A Collection of New Documents,</w:t>
      </w:r>
      <w:r w:rsidR="00A03B4E" w:rsidRPr="00424050">
        <w:t xml:space="preserve"> Leiden 2021</w:t>
      </w:r>
      <w:r w:rsidR="00A03B4E" w:rsidRPr="00424050">
        <w:rPr>
          <w:vertAlign w:val="superscript"/>
        </w:rPr>
        <w:t>2</w:t>
      </w:r>
      <w:r w:rsidR="00A03B4E" w:rsidRPr="00424050">
        <w:t>, nr. 2</w:t>
      </w:r>
      <w:r w:rsidRPr="00424050">
        <w:t xml:space="preserve">. </w:t>
      </w:r>
      <w:r w:rsidR="0002202F" w:rsidRPr="00424050">
        <w:t>L</w:t>
      </w:r>
      <w:r w:rsidRPr="00424050">
        <w:t xml:space="preserve">’ultimo utilizzo della pietra scura </w:t>
      </w:r>
      <w:r w:rsidR="0002202F" w:rsidRPr="00424050">
        <w:t>fuori dal distretto eleusino</w:t>
      </w:r>
      <w:r w:rsidRPr="00424050">
        <w:t xml:space="preserve"> è nell’Arsenale, opera licurghea dell’ultimo quarto del secolo</w:t>
      </w:r>
      <w:r w:rsidR="002F4234" w:rsidRPr="00424050">
        <w:t>.</w:t>
      </w:r>
    </w:p>
  </w:footnote>
  <w:footnote w:id="30">
    <w:p w14:paraId="548CF0DB" w14:textId="1AB711D7" w:rsidR="00E51BB6" w:rsidRPr="00424050" w:rsidRDefault="00E51BB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DF6E64" w:rsidRPr="00424050">
        <w:rPr>
          <w:rFonts w:cs="Times New Roman"/>
          <w:smallCaps/>
        </w:rPr>
        <w:t>Marchiandi</w:t>
      </w:r>
      <w:r w:rsidR="00DF6E64" w:rsidRPr="00424050">
        <w:rPr>
          <w:rFonts w:cs="Times New Roman"/>
        </w:rPr>
        <w:t xml:space="preserve">, </w:t>
      </w:r>
      <w:r w:rsidR="00DF6E64" w:rsidRPr="00424050">
        <w:rPr>
          <w:rFonts w:cs="Times New Roman"/>
          <w:i/>
          <w:iCs/>
        </w:rPr>
        <w:t>Contiguità pericolose</w:t>
      </w:r>
      <w:r w:rsidR="00DF6E64" w:rsidRPr="00424050">
        <w:rPr>
          <w:rFonts w:cs="Times New Roman"/>
        </w:rPr>
        <w:t>, pp. 148-151.</w:t>
      </w:r>
      <w:r w:rsidR="00DC275F" w:rsidRPr="00424050">
        <w:rPr>
          <w:rFonts w:cs="Times New Roman"/>
        </w:rPr>
        <w:t xml:space="preserve"> </w:t>
      </w:r>
      <w:r w:rsidR="00AC6F5B" w:rsidRPr="00424050">
        <w:rPr>
          <w:rFonts w:cs="Times New Roman"/>
        </w:rPr>
        <w:t xml:space="preserve">A livello prosopografico sappiamo che </w:t>
      </w:r>
      <w:r w:rsidR="00DC275F" w:rsidRPr="00424050">
        <w:rPr>
          <w:rFonts w:cs="Times New Roman"/>
        </w:rPr>
        <w:t>Mirocle, figlio di Eutidemo, primo affittuario della cava con un contratto quinquennale (</w:t>
      </w:r>
      <w:r w:rsidR="00DC275F" w:rsidRPr="00424050">
        <w:rPr>
          <w:rFonts w:cs="Times New Roman"/>
          <w:i/>
          <w:iCs/>
        </w:rPr>
        <w:t xml:space="preserve">SEG </w:t>
      </w:r>
      <w:r w:rsidR="00DC275F" w:rsidRPr="00424050">
        <w:rPr>
          <w:rFonts w:cs="Times New Roman"/>
        </w:rPr>
        <w:t xml:space="preserve">59.143, del 332/1 a.C.) apparteneva ad una famiglia con esperienza nella gestione di cave di proprietà sacra e schierata col partito antimacedone durante tutta l’età licurghea: </w:t>
      </w:r>
      <w:r w:rsidR="00DC275F" w:rsidRPr="00424050">
        <w:rPr>
          <w:rFonts w:cs="Times New Roman"/>
          <w:smallCaps/>
        </w:rPr>
        <w:t>Marchiandi</w:t>
      </w:r>
      <w:r w:rsidR="00DC275F" w:rsidRPr="00424050">
        <w:rPr>
          <w:rFonts w:cs="Times New Roman"/>
        </w:rPr>
        <w:t xml:space="preserve">, </w:t>
      </w:r>
      <w:r w:rsidR="00DC275F" w:rsidRPr="00424050">
        <w:rPr>
          <w:rFonts w:cs="Times New Roman"/>
          <w:i/>
          <w:iCs/>
        </w:rPr>
        <w:t>Contiguità pericolose</w:t>
      </w:r>
      <w:r w:rsidR="00DC275F" w:rsidRPr="00424050">
        <w:rPr>
          <w:rFonts w:cs="Times New Roman"/>
        </w:rPr>
        <w:t>, pp. 155-164.</w:t>
      </w:r>
    </w:p>
  </w:footnote>
  <w:footnote w:id="31">
    <w:p w14:paraId="0707083F" w14:textId="04796572" w:rsidR="006E4E66" w:rsidRPr="00424050" w:rsidRDefault="006E4E6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286F5D" w:rsidRPr="00424050">
        <w:rPr>
          <w:rFonts w:cs="Times New Roman"/>
          <w:i/>
          <w:iCs/>
        </w:rPr>
        <w:t>IG</w:t>
      </w:r>
      <w:r w:rsidR="00286F5D" w:rsidRPr="00424050">
        <w:rPr>
          <w:rFonts w:cs="Times New Roman"/>
        </w:rPr>
        <w:t xml:space="preserve"> II</w:t>
      </w:r>
      <w:r w:rsidR="00286F5D" w:rsidRPr="00424050">
        <w:rPr>
          <w:rFonts w:cs="Times New Roman"/>
          <w:vertAlign w:val="superscript"/>
        </w:rPr>
        <w:t>3</w:t>
      </w:r>
      <w:r w:rsidR="00286F5D" w:rsidRPr="00424050">
        <w:rPr>
          <w:rFonts w:cs="Times New Roman"/>
        </w:rPr>
        <w:t xml:space="preserve"> 4, 2= </w:t>
      </w:r>
      <w:r w:rsidR="00286F5D" w:rsidRPr="00424050">
        <w:rPr>
          <w:rFonts w:cs="Times New Roman"/>
          <w:i/>
          <w:iCs/>
        </w:rPr>
        <w:t>IG</w:t>
      </w:r>
      <w:r w:rsidR="00286F5D" w:rsidRPr="00424050">
        <w:rPr>
          <w:rFonts w:cs="Times New Roman"/>
        </w:rPr>
        <w:t xml:space="preserve"> II</w:t>
      </w:r>
      <w:r w:rsidR="00286F5D" w:rsidRPr="00424050">
        <w:rPr>
          <w:rFonts w:cs="Times New Roman"/>
          <w:vertAlign w:val="superscript"/>
        </w:rPr>
        <w:t>2</w:t>
      </w:r>
      <w:r w:rsidR="00286F5D" w:rsidRPr="00424050">
        <w:rPr>
          <w:rFonts w:cs="Times New Roman"/>
        </w:rPr>
        <w:t xml:space="preserve">, 2790. </w:t>
      </w:r>
      <w:r w:rsidR="00A42E08" w:rsidRPr="00424050">
        <w:rPr>
          <w:rFonts w:cs="Times New Roman"/>
        </w:rPr>
        <w:t>S.</w:t>
      </w:r>
      <w:r w:rsidRPr="00424050">
        <w:rPr>
          <w:rFonts w:cs="Times New Roman"/>
        </w:rPr>
        <w:t xml:space="preserve">D. Lambert ha riconosciuto in </w:t>
      </w:r>
      <w:r w:rsidRPr="00424050">
        <w:rPr>
          <w:rFonts w:cs="Times New Roman"/>
          <w:i/>
          <w:iCs/>
        </w:rPr>
        <w:t>IG</w:t>
      </w:r>
      <w:r w:rsidRPr="00424050">
        <w:rPr>
          <w:rFonts w:cs="Times New Roman"/>
        </w:rPr>
        <w:t xml:space="preserve"> II</w:t>
      </w:r>
      <w:r w:rsidRPr="00424050">
        <w:rPr>
          <w:rFonts w:cs="Times New Roman"/>
          <w:vertAlign w:val="superscript"/>
        </w:rPr>
        <w:t>3</w:t>
      </w:r>
      <w:r w:rsidRPr="00424050">
        <w:rPr>
          <w:rFonts w:cs="Times New Roman"/>
        </w:rPr>
        <w:t xml:space="preserve"> 4, 2= </w:t>
      </w:r>
      <w:r w:rsidRPr="00424050">
        <w:rPr>
          <w:rFonts w:cs="Times New Roman"/>
          <w:i/>
          <w:iCs/>
        </w:rPr>
        <w:t>IG</w:t>
      </w:r>
      <w:r w:rsidRPr="00424050">
        <w:rPr>
          <w:rFonts w:cs="Times New Roman"/>
        </w:rPr>
        <w:t xml:space="preserve"> II</w:t>
      </w:r>
      <w:r w:rsidRPr="00424050">
        <w:rPr>
          <w:rFonts w:cs="Times New Roman"/>
          <w:vertAlign w:val="superscript"/>
        </w:rPr>
        <w:t>2</w:t>
      </w:r>
      <w:r w:rsidRPr="00424050">
        <w:rPr>
          <w:rFonts w:cs="Times New Roman"/>
        </w:rPr>
        <w:t xml:space="preserve"> </w:t>
      </w:r>
      <w:r w:rsidR="001F0FAC" w:rsidRPr="00424050">
        <w:rPr>
          <w:rFonts w:cs="Times New Roman"/>
        </w:rPr>
        <w:t xml:space="preserve">2790 </w:t>
      </w:r>
      <w:r w:rsidR="00AC6F5B" w:rsidRPr="00424050">
        <w:rPr>
          <w:rFonts w:cs="Times New Roman"/>
        </w:rPr>
        <w:t>(</w:t>
      </w:r>
      <w:r w:rsidR="00A42E08" w:rsidRPr="00424050">
        <w:rPr>
          <w:rFonts w:cs="Times New Roman"/>
        </w:rPr>
        <w:t>357/6</w:t>
      </w:r>
      <w:r w:rsidR="00AC6F5B" w:rsidRPr="00424050">
        <w:rPr>
          <w:rFonts w:cs="Times New Roman"/>
        </w:rPr>
        <w:t xml:space="preserve">) </w:t>
      </w:r>
      <w:r w:rsidR="00574B1C" w:rsidRPr="00424050">
        <w:rPr>
          <w:rFonts w:cs="Times New Roman"/>
        </w:rPr>
        <w:t xml:space="preserve">il primo utilizzo della </w:t>
      </w:r>
      <w:r w:rsidR="00AC6F5B" w:rsidRPr="00424050">
        <w:rPr>
          <w:rFonts w:cs="Times New Roman"/>
        </w:rPr>
        <w:t>formula</w:t>
      </w:r>
      <w:r w:rsidR="00A42E08" w:rsidRPr="00424050">
        <w:rPr>
          <w:rFonts w:cs="Times New Roman"/>
        </w:rPr>
        <w:t xml:space="preserve"> standarizzata (στεφανωθεῖσα | ὑπὸ τοῦ δήμου τοῦ Ἀθηναίων ἀρετῆς ἕνε|κα καὶ δικαιοσύνης, ll. 2-4) per la commemorazione delle onorificenze a carico delle casse pubbliche: </w:t>
      </w:r>
      <w:r w:rsidR="00A42E08" w:rsidRPr="00424050">
        <w:rPr>
          <w:rFonts w:cs="Times New Roman"/>
          <w:i/>
          <w:iCs/>
        </w:rPr>
        <w:t>357/6 BC: A Significant Year in the Development of Athenian Honorific Practice</w:t>
      </w:r>
      <w:r w:rsidR="00A42E08" w:rsidRPr="00424050">
        <w:rPr>
          <w:rFonts w:cs="Times New Roman"/>
        </w:rPr>
        <w:t xml:space="preserve">, </w:t>
      </w:r>
      <w:r w:rsidR="00574B1C" w:rsidRPr="00424050">
        <w:rPr>
          <w:rFonts w:cs="Times New Roman"/>
        </w:rPr>
        <w:t>«</w:t>
      </w:r>
      <w:r w:rsidR="00A42E08" w:rsidRPr="00424050">
        <w:rPr>
          <w:rFonts w:cs="Times New Roman"/>
        </w:rPr>
        <w:t>AIO Papers</w:t>
      </w:r>
      <w:r w:rsidR="00574B1C" w:rsidRPr="00424050">
        <w:rPr>
          <w:rFonts w:cs="Times New Roman"/>
        </w:rPr>
        <w:t>»</w:t>
      </w:r>
      <w:r w:rsidR="00A42E08" w:rsidRPr="00424050">
        <w:rPr>
          <w:rFonts w:cs="Times New Roman"/>
        </w:rPr>
        <w:t xml:space="preserve"> 9, 2018, p. 3.</w:t>
      </w:r>
    </w:p>
  </w:footnote>
  <w:footnote w:id="32">
    <w:p w14:paraId="3BBD9178" w14:textId="6E439C47" w:rsidR="00286F5D" w:rsidRPr="00424050" w:rsidRDefault="00286F5D"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Agor</w:t>
      </w:r>
      <w:r w:rsidR="002D33C6" w:rsidRPr="00424050">
        <w:rPr>
          <w:rFonts w:cs="Times New Roman"/>
          <w:i/>
          <w:iCs/>
        </w:rPr>
        <w:t>a</w:t>
      </w:r>
      <w:r w:rsidRPr="00424050">
        <w:rPr>
          <w:rFonts w:cs="Times New Roman"/>
        </w:rPr>
        <w:t xml:space="preserve"> XV 35.</w:t>
      </w:r>
    </w:p>
  </w:footnote>
  <w:footnote w:id="33">
    <w:p w14:paraId="5A25A762" w14:textId="167E30C7" w:rsidR="00286F5D" w:rsidRPr="00424050" w:rsidRDefault="00286F5D"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Pr="00424050">
        <w:rPr>
          <w:rFonts w:cs="Times New Roman"/>
        </w:rPr>
        <w:t xml:space="preserve"> II</w:t>
      </w:r>
      <w:r w:rsidRPr="00424050">
        <w:rPr>
          <w:rFonts w:cs="Times New Roman"/>
          <w:vertAlign w:val="superscript"/>
        </w:rPr>
        <w:t>3</w:t>
      </w:r>
      <w:r w:rsidRPr="00424050">
        <w:rPr>
          <w:rFonts w:cs="Times New Roman"/>
        </w:rPr>
        <w:t xml:space="preserve"> 4, 3.</w:t>
      </w:r>
    </w:p>
  </w:footnote>
  <w:footnote w:id="34">
    <w:p w14:paraId="4BE1C1F5" w14:textId="1F256B4F" w:rsidR="000A1FDC" w:rsidRPr="00424050" w:rsidRDefault="000A1FDC"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Pr="00424050">
        <w:rPr>
          <w:rFonts w:cs="Times New Roman"/>
        </w:rPr>
        <w:t xml:space="preserve"> II</w:t>
      </w:r>
      <w:r w:rsidRPr="00424050">
        <w:rPr>
          <w:rFonts w:cs="Times New Roman"/>
          <w:vertAlign w:val="superscript"/>
        </w:rPr>
        <w:t>2</w:t>
      </w:r>
      <w:r w:rsidRPr="00424050">
        <w:rPr>
          <w:rFonts w:cs="Times New Roman"/>
        </w:rPr>
        <w:t xml:space="preserve"> 2792.</w:t>
      </w:r>
    </w:p>
  </w:footnote>
  <w:footnote w:id="35">
    <w:p w14:paraId="4612E88C" w14:textId="7C7AF830" w:rsidR="003C25D7" w:rsidRPr="00424050" w:rsidRDefault="003C25D7" w:rsidP="003B7BC3">
      <w:pPr>
        <w:pStyle w:val="Testonotaapidipagina"/>
        <w:rPr>
          <w:rFonts w:cs="Times New Roman"/>
          <w:i/>
          <w:iCs/>
        </w:rPr>
      </w:pPr>
      <w:r w:rsidRPr="00424050">
        <w:rPr>
          <w:rStyle w:val="Rimandonotaapidipagina"/>
          <w:rFonts w:cs="Times New Roman"/>
        </w:rPr>
        <w:footnoteRef/>
      </w:r>
      <w:r w:rsidRPr="00424050">
        <w:rPr>
          <w:rFonts w:cs="Times New Roman"/>
        </w:rPr>
        <w:t xml:space="preserve"> Sui formulari delle iscrizioni di IV secolo</w:t>
      </w:r>
      <w:r w:rsidR="00B05713" w:rsidRPr="00424050">
        <w:rPr>
          <w:rFonts w:cs="Times New Roman"/>
        </w:rPr>
        <w:t xml:space="preserve"> si rimanda, oltre all’essenziale </w:t>
      </w:r>
      <w:r w:rsidRPr="00424050">
        <w:rPr>
          <w:rFonts w:cs="Times New Roman"/>
        </w:rPr>
        <w:t xml:space="preserve">D. </w:t>
      </w:r>
      <w:r w:rsidRPr="00424050">
        <w:rPr>
          <w:rFonts w:cs="Times New Roman"/>
          <w:smallCaps/>
        </w:rPr>
        <w:t>Whitehead</w:t>
      </w:r>
      <w:r w:rsidRPr="00424050">
        <w:rPr>
          <w:rFonts w:cs="Times New Roman"/>
        </w:rPr>
        <w:t xml:space="preserve">, </w:t>
      </w:r>
      <w:r w:rsidRPr="00424050">
        <w:rPr>
          <w:rFonts w:cs="Times New Roman"/>
          <w:i/>
          <w:iCs/>
        </w:rPr>
        <w:t>Cardinal Virtues: the Language of Public Approbation in Democratic Athens</w:t>
      </w:r>
      <w:r w:rsidRPr="00424050">
        <w:rPr>
          <w:rFonts w:cs="Times New Roman"/>
        </w:rPr>
        <w:t>, «C&amp;M» 44, 1993, pp. 37-75</w:t>
      </w:r>
      <w:r w:rsidR="00B05713" w:rsidRPr="00424050">
        <w:rPr>
          <w:rFonts w:cs="Times New Roman"/>
        </w:rPr>
        <w:t xml:space="preserve"> </w:t>
      </w:r>
      <w:r w:rsidR="00F83820" w:rsidRPr="00424050">
        <w:rPr>
          <w:rFonts w:cs="Times New Roman"/>
        </w:rPr>
        <w:t>e</w:t>
      </w:r>
      <w:r w:rsidR="0041427E" w:rsidRPr="00424050">
        <w:rPr>
          <w:rFonts w:cs="Times New Roman"/>
        </w:rPr>
        <w:t xml:space="preserve"> </w:t>
      </w:r>
      <w:r w:rsidRPr="00424050">
        <w:rPr>
          <w:rFonts w:cs="Times New Roman"/>
        </w:rPr>
        <w:t xml:space="preserve">C. </w:t>
      </w:r>
      <w:r w:rsidRPr="00424050">
        <w:rPr>
          <w:rFonts w:cs="Times New Roman"/>
          <w:smallCaps/>
        </w:rPr>
        <w:t>Veligianni-Terzi</w:t>
      </w:r>
      <w:r w:rsidRPr="00424050">
        <w:rPr>
          <w:rFonts w:cs="Times New Roman"/>
        </w:rPr>
        <w:t xml:space="preserve">, </w:t>
      </w:r>
      <w:r w:rsidRPr="00424050">
        <w:rPr>
          <w:rFonts w:cs="Times New Roman"/>
          <w:i/>
          <w:iCs/>
        </w:rPr>
        <w:t>Wertbegriffe in den attischen Ehrendekreten der Classischen Zeit</w:t>
      </w:r>
      <w:r w:rsidR="00F83820" w:rsidRPr="00424050">
        <w:rPr>
          <w:rFonts w:cs="Times New Roman"/>
        </w:rPr>
        <w:t>,</w:t>
      </w:r>
      <w:r w:rsidRPr="00424050">
        <w:rPr>
          <w:rFonts w:cs="Times New Roman"/>
        </w:rPr>
        <w:t xml:space="preserve"> Stuttgart 1997 (per la specifica formula ἀρετῆς ἕνεκα καὶ δικαιοσύνης</w:t>
      </w:r>
      <w:r w:rsidR="00B05A85" w:rsidRPr="00424050">
        <w:rPr>
          <w:rFonts w:cs="Times New Roman"/>
        </w:rPr>
        <w:t xml:space="preserve">: </w:t>
      </w:r>
      <w:r w:rsidRPr="00424050">
        <w:rPr>
          <w:rFonts w:cs="Times New Roman"/>
        </w:rPr>
        <w:t>pp. 180-188; 218-222)</w:t>
      </w:r>
      <w:r w:rsidR="00B05713" w:rsidRPr="00424050">
        <w:rPr>
          <w:rFonts w:cs="Times New Roman"/>
        </w:rPr>
        <w:t xml:space="preserve"> e </w:t>
      </w:r>
      <w:r w:rsidR="00B05713" w:rsidRPr="00424050">
        <w:rPr>
          <w:rFonts w:cs="Times New Roman"/>
          <w:smallCaps/>
        </w:rPr>
        <w:t>B.L. Cook</w:t>
      </w:r>
      <w:r w:rsidR="00B05713" w:rsidRPr="00424050">
        <w:rPr>
          <w:rFonts w:cs="Times New Roman"/>
        </w:rPr>
        <w:t xml:space="preserve">, </w:t>
      </w:r>
      <w:r w:rsidR="00B05713" w:rsidRPr="00424050">
        <w:rPr>
          <w:rFonts w:cs="Times New Roman"/>
          <w:i/>
          <w:iCs/>
        </w:rPr>
        <w:t>Athenian Terms of Civic Praise in the 330s: Aeschines vs. Demosthenes</w:t>
      </w:r>
      <w:r w:rsidR="00B05713" w:rsidRPr="00424050">
        <w:rPr>
          <w:rFonts w:cs="Times New Roman"/>
        </w:rPr>
        <w:t>, «GRBS» 49, 2009, pp. 31-52.</w:t>
      </w:r>
      <w:r w:rsidR="008F5528" w:rsidRPr="00424050">
        <w:rPr>
          <w:rFonts w:cs="Times New Roman"/>
        </w:rPr>
        <w:t xml:space="preserve"> In relazione al termine </w:t>
      </w:r>
      <w:r w:rsidR="008F5528" w:rsidRPr="00424050">
        <w:rPr>
          <w:rFonts w:cs="Times New Roman"/>
          <w:i/>
          <w:iCs/>
        </w:rPr>
        <w:t>arete</w:t>
      </w:r>
      <w:r w:rsidR="008F5528" w:rsidRPr="00424050">
        <w:rPr>
          <w:rFonts w:cs="Times New Roman"/>
        </w:rPr>
        <w:t>,</w:t>
      </w:r>
      <w:r w:rsidR="008F5528" w:rsidRPr="00424050">
        <w:rPr>
          <w:rFonts w:cs="Times New Roman"/>
          <w:i/>
          <w:iCs/>
        </w:rPr>
        <w:t xml:space="preserve"> </w:t>
      </w:r>
      <w:r w:rsidR="008F5528" w:rsidRPr="00424050">
        <w:rPr>
          <w:rFonts w:cs="Times New Roman"/>
          <w:bCs/>
        </w:rPr>
        <w:t>C. Tsagalis (</w:t>
      </w:r>
      <w:r w:rsidR="008F5528" w:rsidRPr="00424050">
        <w:rPr>
          <w:rFonts w:cs="Times New Roman"/>
          <w:bCs/>
          <w:i/>
          <w:iCs/>
        </w:rPr>
        <w:t>Inscribing Sorrow: Fourth-Century Attic Funerary Epigrams</w:t>
      </w:r>
      <w:r w:rsidR="008F5528" w:rsidRPr="00424050">
        <w:rPr>
          <w:rFonts w:cs="Times New Roman"/>
          <w:bCs/>
        </w:rPr>
        <w:t>, Berlin</w:t>
      </w:r>
      <w:r w:rsidR="00424050">
        <w:rPr>
          <w:rFonts w:cs="Times New Roman"/>
          <w:bCs/>
        </w:rPr>
        <w:t xml:space="preserve"> </w:t>
      </w:r>
      <w:r w:rsidR="008F5528" w:rsidRPr="00424050">
        <w:rPr>
          <w:rFonts w:cs="Times New Roman"/>
          <w:bCs/>
        </w:rPr>
        <w:t>-</w:t>
      </w:r>
      <w:r w:rsidR="00424050">
        <w:rPr>
          <w:rFonts w:cs="Times New Roman"/>
          <w:bCs/>
        </w:rPr>
        <w:t xml:space="preserve"> </w:t>
      </w:r>
      <w:r w:rsidR="008F5528" w:rsidRPr="00424050">
        <w:rPr>
          <w:rFonts w:cs="Times New Roman"/>
          <w:bCs/>
        </w:rPr>
        <w:t>New York 2008, pp. 136-137) ha evidenziato come, negli epigrammi funerari di IV secolo, sono almeno 32 le ricorrenze del termine contro le 6 attestazioni del secolo precedente, a dimostrazione della profonda trasformazione sociale e culturale in atto ad Atene.</w:t>
      </w:r>
    </w:p>
  </w:footnote>
  <w:footnote w:id="36">
    <w:p w14:paraId="59A6BB72" w14:textId="5BA5D8C2" w:rsidR="002B2696" w:rsidRPr="00424050" w:rsidRDefault="002B269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Anche in questo caso si tratta d</w:t>
      </w:r>
      <w:r w:rsidR="00802E3D" w:rsidRPr="00424050">
        <w:rPr>
          <w:rFonts w:cs="Times New Roman"/>
        </w:rPr>
        <w:t xml:space="preserve">ella </w:t>
      </w:r>
      <w:r w:rsidRPr="00424050">
        <w:rPr>
          <w:rFonts w:cs="Times New Roman"/>
        </w:rPr>
        <w:t>prim</w:t>
      </w:r>
      <w:r w:rsidR="00802E3D" w:rsidRPr="00424050">
        <w:rPr>
          <w:rFonts w:cs="Times New Roman"/>
        </w:rPr>
        <w:t>a</w:t>
      </w:r>
      <w:r w:rsidRPr="00424050">
        <w:rPr>
          <w:rFonts w:cs="Times New Roman"/>
        </w:rPr>
        <w:t xml:space="preserve"> volt</w:t>
      </w:r>
      <w:r w:rsidR="00802E3D" w:rsidRPr="00424050">
        <w:rPr>
          <w:rFonts w:cs="Times New Roman"/>
        </w:rPr>
        <w:t>a</w:t>
      </w:r>
      <w:r w:rsidRPr="00424050">
        <w:rPr>
          <w:rFonts w:cs="Times New Roman"/>
        </w:rPr>
        <w:t xml:space="preserve"> in cui la formula </w:t>
      </w:r>
      <w:r w:rsidR="00802E3D" w:rsidRPr="00424050">
        <w:rPr>
          <w:rFonts w:cs="Times New Roman"/>
          <w:bCs/>
        </w:rPr>
        <w:t>ἀρετῆς ἕνεκα- compare in riferimento a cittadini ateniesi. Cfr. n</w:t>
      </w:r>
      <w:r w:rsidR="00574B1C" w:rsidRPr="00424050">
        <w:rPr>
          <w:rFonts w:cs="Times New Roman"/>
          <w:bCs/>
        </w:rPr>
        <w:t>ota</w:t>
      </w:r>
      <w:r w:rsidR="008F5528" w:rsidRPr="00424050">
        <w:rPr>
          <w:rFonts w:cs="Times New Roman"/>
          <w:bCs/>
        </w:rPr>
        <w:t xml:space="preserve"> 35</w:t>
      </w:r>
      <w:r w:rsidR="00802E3D" w:rsidRPr="00424050">
        <w:rPr>
          <w:rFonts w:cs="Times New Roman"/>
          <w:bCs/>
        </w:rPr>
        <w:t>.</w:t>
      </w:r>
      <w:r w:rsidR="0032136F" w:rsidRPr="00424050">
        <w:rPr>
          <w:rFonts w:cs="Times New Roman"/>
          <w:bCs/>
        </w:rPr>
        <w:t xml:space="preserve"> </w:t>
      </w:r>
      <w:r w:rsidR="005D1B72" w:rsidRPr="00424050">
        <w:rPr>
          <w:rFonts w:cs="Times New Roman"/>
          <w:bCs/>
        </w:rPr>
        <w:t>I</w:t>
      </w:r>
      <w:r w:rsidR="00815E58" w:rsidRPr="00424050">
        <w:rPr>
          <w:rFonts w:cs="Times New Roman"/>
          <w:bCs/>
        </w:rPr>
        <w:t>n letteratura, fatta eccezione di una attestazione tucididea (</w:t>
      </w:r>
      <w:r w:rsidR="00815E58" w:rsidRPr="00424050">
        <w:rPr>
          <w:rFonts w:cs="Times New Roman"/>
        </w:rPr>
        <w:t>2.71.3</w:t>
      </w:r>
      <w:r w:rsidR="00815E58" w:rsidRPr="00424050">
        <w:rPr>
          <w:rFonts w:cs="Times New Roman"/>
          <w:bCs/>
        </w:rPr>
        <w:t xml:space="preserve">), si </w:t>
      </w:r>
      <w:r w:rsidR="00AF400B" w:rsidRPr="00424050">
        <w:rPr>
          <w:rFonts w:cs="Times New Roman"/>
          <w:bCs/>
        </w:rPr>
        <w:t>af</w:t>
      </w:r>
      <w:r w:rsidR="00815E58" w:rsidRPr="00424050">
        <w:rPr>
          <w:rFonts w:cs="Times New Roman"/>
          <w:bCs/>
        </w:rPr>
        <w:t xml:space="preserve">ferma a partire dal IV secolo e, per la precisione, nelle orazioni connesse alla corona di Demostene, dove i concetti di </w:t>
      </w:r>
      <w:r w:rsidR="00815E58" w:rsidRPr="00424050">
        <w:rPr>
          <w:rFonts w:cs="Times New Roman"/>
          <w:bCs/>
          <w:i/>
          <w:iCs/>
        </w:rPr>
        <w:t>ethos</w:t>
      </w:r>
      <w:r w:rsidR="00815E58" w:rsidRPr="00424050">
        <w:rPr>
          <w:rFonts w:cs="Times New Roman"/>
          <w:bCs/>
        </w:rPr>
        <w:t xml:space="preserve"> poleico ed </w:t>
      </w:r>
      <w:r w:rsidR="00815E58" w:rsidRPr="00424050">
        <w:rPr>
          <w:rFonts w:cs="Times New Roman"/>
          <w:bCs/>
          <w:i/>
          <w:iCs/>
        </w:rPr>
        <w:t>ethos</w:t>
      </w:r>
      <w:r w:rsidR="00815E58" w:rsidRPr="00424050">
        <w:rPr>
          <w:rFonts w:cs="Times New Roman"/>
          <w:bCs/>
        </w:rPr>
        <w:t xml:space="preserve"> cittadino sono più volte richiamati.</w:t>
      </w:r>
    </w:p>
  </w:footnote>
  <w:footnote w:id="37">
    <w:p w14:paraId="7583AC40" w14:textId="05A10CEF" w:rsidR="00424050" w:rsidRDefault="00424050">
      <w:pPr>
        <w:pStyle w:val="Testonotaapidipagina"/>
      </w:pPr>
      <w:r>
        <w:rPr>
          <w:rStyle w:val="Rimandonotaapidipagina"/>
        </w:rPr>
        <w:footnoteRef/>
      </w:r>
      <w:r>
        <w:t xml:space="preserve"> </w:t>
      </w:r>
      <w:r w:rsidRPr="00424050">
        <w:t xml:space="preserve">Sul termine si veda </w:t>
      </w:r>
      <w:r w:rsidRPr="00424050">
        <w:rPr>
          <w:smallCaps/>
        </w:rPr>
        <w:t>E.A. Havelock</w:t>
      </w:r>
      <w:r w:rsidRPr="00424050">
        <w:t xml:space="preserve">, </w:t>
      </w:r>
      <w:r w:rsidRPr="00424050">
        <w:rPr>
          <w:i/>
          <w:iCs/>
        </w:rPr>
        <w:t>Dikaiosune. An Essai in Greek Intellectual History</w:t>
      </w:r>
      <w:r w:rsidRPr="00424050">
        <w:t xml:space="preserve">, «Phoenix» 23, 1969, pp. 49-70. Sul termine </w:t>
      </w:r>
      <w:r w:rsidRPr="00424050">
        <w:rPr>
          <w:i/>
          <w:iCs/>
        </w:rPr>
        <w:t>philotimia</w:t>
      </w:r>
      <w:r w:rsidRPr="00424050">
        <w:t xml:space="preserve"> la bibliografia è imponente, ma rimane imprescindibile </w:t>
      </w:r>
      <w:r w:rsidRPr="00424050">
        <w:rPr>
          <w:smallCaps/>
        </w:rPr>
        <w:t>Whitehead</w:t>
      </w:r>
      <w:r w:rsidRPr="00424050">
        <w:t xml:space="preserve">, </w:t>
      </w:r>
      <w:r w:rsidRPr="00424050">
        <w:rPr>
          <w:i/>
          <w:iCs/>
        </w:rPr>
        <w:t>Cardinal Virtues</w:t>
      </w:r>
      <w:r w:rsidRPr="00424050">
        <w:t xml:space="preserve">; cfr. </w:t>
      </w:r>
      <w:r w:rsidRPr="00424050">
        <w:rPr>
          <w:smallCaps/>
        </w:rPr>
        <w:t>E. Alexiou</w:t>
      </w:r>
      <w:r w:rsidRPr="00424050">
        <w:t xml:space="preserve">, </w:t>
      </w:r>
      <w:r w:rsidRPr="00424050">
        <w:rPr>
          <w:i/>
          <w:iCs/>
        </w:rPr>
        <w:t>Competitive Values in Isocrates and Xenophon: Aspects of Philotimia</w:t>
      </w:r>
      <w:r>
        <w:t xml:space="preserve">, </w:t>
      </w:r>
      <w:r w:rsidRPr="00424050">
        <w:t>«Trends in Classics» 10, 2018, pp. 114-133, con vasta rassegna bibliografica.</w:t>
      </w:r>
    </w:p>
  </w:footnote>
  <w:footnote w:id="38">
    <w:p w14:paraId="3DD597D2" w14:textId="3C8AB7BA" w:rsidR="0067312F" w:rsidRPr="00424050" w:rsidRDefault="0067312F" w:rsidP="003B7BC3">
      <w:pPr>
        <w:pStyle w:val="Testonotaapidipagina"/>
        <w:rPr>
          <w:rFonts w:cs="Times New Roman"/>
          <w:b/>
          <w:bCs/>
        </w:rPr>
      </w:pPr>
      <w:r w:rsidRPr="00424050">
        <w:rPr>
          <w:rStyle w:val="Rimandonotaapidipagina"/>
          <w:rFonts w:cs="Times New Roman"/>
        </w:rPr>
        <w:footnoteRef/>
      </w:r>
      <w:r w:rsidRPr="00424050">
        <w:rPr>
          <w:rFonts w:cs="Times New Roman"/>
        </w:rPr>
        <w:t xml:space="preserve"> In età classica indicava l’eccellenza virile in battaglia che, alla fine del V secolo, diviene eccellenza civica, mutando il campo in cui si discuteva l’agone, da quello di battaglia a quello civico: </w:t>
      </w:r>
      <w:r w:rsidR="00C55DD6">
        <w:rPr>
          <w:rFonts w:cs="Times New Roman"/>
        </w:rPr>
        <w:t xml:space="preserve">cfr. </w:t>
      </w:r>
      <w:r w:rsidRPr="00424050">
        <w:rPr>
          <w:rFonts w:cs="Times New Roman"/>
          <w:smallCaps/>
        </w:rPr>
        <w:t>Whitehead</w:t>
      </w:r>
      <w:r w:rsidRPr="00424050">
        <w:rPr>
          <w:rFonts w:cs="Times New Roman"/>
        </w:rPr>
        <w:t xml:space="preserve">, </w:t>
      </w:r>
      <w:r w:rsidRPr="00424050">
        <w:rPr>
          <w:rFonts w:cs="Times New Roman"/>
          <w:i/>
          <w:iCs/>
        </w:rPr>
        <w:t>Cardinal Virtues</w:t>
      </w:r>
      <w:r w:rsidR="00F22AE4" w:rsidRPr="00424050">
        <w:rPr>
          <w:rFonts w:cs="Times New Roman"/>
        </w:rPr>
        <w:t xml:space="preserve">. </w:t>
      </w:r>
      <w:r w:rsidR="00C55DD6">
        <w:rPr>
          <w:rFonts w:cs="Times New Roman"/>
        </w:rPr>
        <w:t xml:space="preserve">Vd. anche </w:t>
      </w:r>
      <w:r w:rsidR="00F22AE4" w:rsidRPr="00424050">
        <w:rPr>
          <w:rFonts w:cs="Times New Roman"/>
          <w:smallCaps/>
        </w:rPr>
        <w:t>Id</w:t>
      </w:r>
      <w:r w:rsidR="00F22AE4" w:rsidRPr="00424050">
        <w:rPr>
          <w:rFonts w:cs="Times New Roman"/>
        </w:rPr>
        <w:t xml:space="preserve">. </w:t>
      </w:r>
      <w:r w:rsidR="00F22AE4" w:rsidRPr="00424050">
        <w:rPr>
          <w:rFonts w:cs="Times New Roman"/>
          <w:i/>
          <w:iCs/>
        </w:rPr>
        <w:t>Andragathia and Arete</w:t>
      </w:r>
      <w:r w:rsidR="00F22AE4" w:rsidRPr="00424050">
        <w:rPr>
          <w:rFonts w:cs="Times New Roman"/>
        </w:rPr>
        <w:t xml:space="preserve">, in </w:t>
      </w:r>
      <w:r w:rsidR="00F22AE4" w:rsidRPr="00424050">
        <w:rPr>
          <w:rFonts w:cs="Times New Roman"/>
          <w:smallCaps/>
        </w:rPr>
        <w:t xml:space="preserve">L.G. Rubinstein - M.A.L. Rubinstein </w:t>
      </w:r>
      <w:r w:rsidR="00F22AE4" w:rsidRPr="00424050">
        <w:rPr>
          <w:rFonts w:cs="Times New Roman"/>
        </w:rPr>
        <w:t>(</w:t>
      </w:r>
      <w:r w:rsidR="00AC5A0C" w:rsidRPr="00424050">
        <w:rPr>
          <w:rFonts w:cs="Times New Roman"/>
        </w:rPr>
        <w:t>e</w:t>
      </w:r>
      <w:r w:rsidR="00F22AE4" w:rsidRPr="00424050">
        <w:rPr>
          <w:rFonts w:cs="Times New Roman"/>
        </w:rPr>
        <w:t xml:space="preserve">ds.), </w:t>
      </w:r>
      <w:r w:rsidR="00F22AE4" w:rsidRPr="00424050">
        <w:rPr>
          <w:rFonts w:cs="Times New Roman"/>
          <w:i/>
          <w:iCs/>
        </w:rPr>
        <w:t>Greek History and Epigraphy</w:t>
      </w:r>
      <w:r w:rsidR="00F22AE4" w:rsidRPr="00424050">
        <w:rPr>
          <w:rFonts w:cs="Times New Roman"/>
        </w:rPr>
        <w:t xml:space="preserve">, </w:t>
      </w:r>
      <w:r w:rsidR="00562910" w:rsidRPr="00424050">
        <w:rPr>
          <w:rFonts w:cs="Times New Roman"/>
        </w:rPr>
        <w:t xml:space="preserve">Swansea 2009, </w:t>
      </w:r>
      <w:r w:rsidR="00F22AE4" w:rsidRPr="00424050">
        <w:rPr>
          <w:rFonts w:cs="Times New Roman"/>
        </w:rPr>
        <w:t>pp. 47-58)</w:t>
      </w:r>
      <w:r w:rsidRPr="00424050">
        <w:rPr>
          <w:rFonts w:cs="Times New Roman"/>
        </w:rPr>
        <w:t xml:space="preserve">; </w:t>
      </w:r>
      <w:r w:rsidRPr="00424050">
        <w:rPr>
          <w:rFonts w:cs="Times New Roman"/>
          <w:smallCaps/>
        </w:rPr>
        <w:t>Veligianni-Terzi</w:t>
      </w:r>
      <w:r w:rsidRPr="00424050">
        <w:rPr>
          <w:rFonts w:cs="Times New Roman"/>
        </w:rPr>
        <w:t xml:space="preserve">, </w:t>
      </w:r>
      <w:r w:rsidRPr="00424050">
        <w:rPr>
          <w:rFonts w:cs="Times New Roman"/>
          <w:i/>
          <w:iCs/>
        </w:rPr>
        <w:t>Wertbegriffe</w:t>
      </w:r>
      <w:r w:rsidR="00F83820" w:rsidRPr="00E34779">
        <w:t xml:space="preserve">, </w:t>
      </w:r>
      <w:r w:rsidRPr="00424050">
        <w:rPr>
          <w:rFonts w:cs="Times New Roman"/>
        </w:rPr>
        <w:t>pp. 216-227</w:t>
      </w:r>
      <w:r w:rsidR="00F83820" w:rsidRPr="00424050">
        <w:rPr>
          <w:rFonts w:cs="Times New Roman"/>
        </w:rPr>
        <w:t>;</w:t>
      </w:r>
      <w:r w:rsidRPr="00424050">
        <w:rPr>
          <w:rFonts w:cs="Times New Roman"/>
        </w:rPr>
        <w:t xml:space="preserve"> </w:t>
      </w:r>
      <w:r w:rsidRPr="00424050">
        <w:rPr>
          <w:rFonts w:cs="Times New Roman"/>
          <w:smallCaps/>
        </w:rPr>
        <w:t>B.L.Cook</w:t>
      </w:r>
      <w:r w:rsidRPr="00424050">
        <w:rPr>
          <w:rFonts w:cs="Times New Roman"/>
        </w:rPr>
        <w:t xml:space="preserve">, </w:t>
      </w:r>
      <w:r w:rsidRPr="00424050">
        <w:rPr>
          <w:rFonts w:cs="Times New Roman"/>
          <w:i/>
          <w:iCs/>
        </w:rPr>
        <w:t>Athenian Terms of Civic Praise in the 330s: Aeschines vs. Demosthenes</w:t>
      </w:r>
      <w:r w:rsidRPr="00424050">
        <w:rPr>
          <w:rFonts w:cs="Times New Roman"/>
        </w:rPr>
        <w:t xml:space="preserve">, «GRBS» 49, 2009, 31-52; B. </w:t>
      </w:r>
      <w:r w:rsidRPr="00424050">
        <w:rPr>
          <w:rFonts w:cs="Times New Roman"/>
          <w:smallCaps/>
        </w:rPr>
        <w:t>Gray</w:t>
      </w:r>
      <w:r w:rsidRPr="00424050">
        <w:rPr>
          <w:rFonts w:cs="Times New Roman"/>
        </w:rPr>
        <w:t xml:space="preserve">, </w:t>
      </w:r>
      <w:r w:rsidRPr="00424050">
        <w:rPr>
          <w:rFonts w:cs="Times New Roman"/>
          <w:i/>
          <w:iCs/>
        </w:rPr>
        <w:t>A Civic Alternative to Stoicism: The Ethics of Hellenistic Honorary Decrees</w:t>
      </w:r>
      <w:r w:rsidRPr="00C55DD6">
        <w:t>, «ClA</w:t>
      </w:r>
      <w:r w:rsidRPr="00424050">
        <w:rPr>
          <w:rFonts w:cs="Times New Roman"/>
        </w:rPr>
        <w:t>» 37, 2018, pp. 187</w:t>
      </w:r>
      <w:r w:rsidR="005703BF" w:rsidRPr="00424050">
        <w:rPr>
          <w:rFonts w:cs="Times New Roman"/>
        </w:rPr>
        <w:t>-</w:t>
      </w:r>
      <w:r w:rsidRPr="00424050">
        <w:rPr>
          <w:rFonts w:cs="Times New Roman"/>
        </w:rPr>
        <w:t xml:space="preserve">235. Sull’evoluzione del significato del termine: Whitehead, </w:t>
      </w:r>
      <w:r w:rsidRPr="00424050">
        <w:rPr>
          <w:rFonts w:cs="Times New Roman"/>
          <w:i/>
          <w:iCs/>
        </w:rPr>
        <w:t>Andragathia and Arete</w:t>
      </w:r>
      <w:r w:rsidRPr="00424050">
        <w:rPr>
          <w:rFonts w:cs="Times New Roman"/>
        </w:rPr>
        <w:t xml:space="preserve">, in </w:t>
      </w:r>
      <w:r w:rsidRPr="00424050">
        <w:rPr>
          <w:rFonts w:cs="Times New Roman"/>
          <w:smallCaps/>
        </w:rPr>
        <w:t>L.G., Mitchell - L. Rubinstein</w:t>
      </w:r>
      <w:r w:rsidRPr="00424050">
        <w:rPr>
          <w:rFonts w:cs="Times New Roman"/>
        </w:rPr>
        <w:t xml:space="preserve"> (eds.), </w:t>
      </w:r>
      <w:r w:rsidRPr="00424050">
        <w:rPr>
          <w:rFonts w:cs="Times New Roman"/>
          <w:i/>
          <w:iCs/>
        </w:rPr>
        <w:t>Greek History and Epigraphy</w:t>
      </w:r>
      <w:r w:rsidRPr="00424050">
        <w:rPr>
          <w:rFonts w:cs="Times New Roman"/>
        </w:rPr>
        <w:t>, Swansea 2009, pp. 47-58.</w:t>
      </w:r>
    </w:p>
  </w:footnote>
  <w:footnote w:id="39">
    <w:p w14:paraId="462E2D81" w14:textId="03053B34" w:rsidR="0067312F" w:rsidRPr="00424050" w:rsidRDefault="0067312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Pl</w:t>
      </w:r>
      <w:r w:rsidR="00C55DD6">
        <w:rPr>
          <w:rFonts w:cs="Times New Roman"/>
          <w:smallCaps/>
        </w:rPr>
        <w:t>ato</w:t>
      </w:r>
      <w:r w:rsidRPr="00424050">
        <w:rPr>
          <w:rFonts w:cs="Times New Roman"/>
        </w:rPr>
        <w:t xml:space="preserve"> </w:t>
      </w:r>
      <w:r w:rsidRPr="00424050">
        <w:rPr>
          <w:rFonts w:cs="Times New Roman"/>
          <w:i/>
          <w:iCs/>
        </w:rPr>
        <w:t>Pr</w:t>
      </w:r>
      <w:r w:rsidR="00756A79" w:rsidRPr="00424050">
        <w:rPr>
          <w:rFonts w:cs="Times New Roman"/>
          <w:i/>
          <w:iCs/>
        </w:rPr>
        <w:t>t</w:t>
      </w:r>
      <w:r w:rsidRPr="00424050">
        <w:rPr>
          <w:rFonts w:cs="Times New Roman"/>
        </w:rPr>
        <w:t>. 320c-322d.</w:t>
      </w:r>
    </w:p>
  </w:footnote>
  <w:footnote w:id="40">
    <w:p w14:paraId="74947C03" w14:textId="65BC2DDE" w:rsidR="0067312F" w:rsidRPr="00424050" w:rsidRDefault="0067312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Thgn</w:t>
      </w:r>
      <w:r w:rsidRPr="00424050">
        <w:rPr>
          <w:rFonts w:cs="Times New Roman"/>
        </w:rPr>
        <w:t>. 147-148</w:t>
      </w:r>
      <w:r w:rsidR="00C55DD6">
        <w:rPr>
          <w:rFonts w:cs="Times New Roman"/>
        </w:rPr>
        <w:t>;</w:t>
      </w:r>
      <w:r w:rsidRPr="00424050">
        <w:rPr>
          <w:rFonts w:cs="Times New Roman"/>
        </w:rPr>
        <w:t xml:space="preserve"> qui il termine per indicare la qualità del carattere del cittadino e, soprattutto di coloro che, agathoi, risultano essere i depositari dell'istruzione in materia di </w:t>
      </w:r>
      <w:r w:rsidRPr="00C55DD6">
        <w:rPr>
          <w:rFonts w:cs="Times New Roman"/>
          <w:i/>
          <w:iCs/>
        </w:rPr>
        <w:t>dike</w:t>
      </w:r>
      <w:r w:rsidR="00C55DD6">
        <w:rPr>
          <w:rFonts w:cs="Times New Roman"/>
        </w:rPr>
        <w:t>. C</w:t>
      </w:r>
      <w:r w:rsidRPr="00424050">
        <w:rPr>
          <w:rFonts w:cs="Times New Roman"/>
        </w:rPr>
        <w:t>osì, seguendo V. Cobb-Stevens (</w:t>
      </w:r>
      <w:r w:rsidRPr="00424050">
        <w:rPr>
          <w:rFonts w:cs="Times New Roman"/>
          <w:i/>
          <w:iCs/>
        </w:rPr>
        <w:t>Opposites, Reversals, and Ambiguities: The Unsettled World of Theognis</w:t>
      </w:r>
      <w:r w:rsidRPr="00424050">
        <w:rPr>
          <w:rFonts w:cs="Times New Roman"/>
        </w:rPr>
        <w:t xml:space="preserve">, in </w:t>
      </w:r>
      <w:r w:rsidRPr="00424050">
        <w:rPr>
          <w:rFonts w:cs="Times New Roman"/>
          <w:smallCaps/>
        </w:rPr>
        <w:t xml:space="preserve">T.J. Figueira </w:t>
      </w:r>
      <w:r w:rsidR="005703BF" w:rsidRPr="00424050">
        <w:rPr>
          <w:rFonts w:cs="Times New Roman"/>
          <w:smallCaps/>
        </w:rPr>
        <w:t>-</w:t>
      </w:r>
      <w:r w:rsidRPr="00424050">
        <w:rPr>
          <w:rFonts w:cs="Times New Roman"/>
          <w:smallCaps/>
        </w:rPr>
        <w:t xml:space="preserve"> G. Nagy</w:t>
      </w:r>
      <w:r w:rsidRPr="00424050">
        <w:rPr>
          <w:rFonts w:cs="Times New Roman"/>
        </w:rPr>
        <w:t xml:space="preserve"> (eds), </w:t>
      </w:r>
      <w:r w:rsidRPr="00424050">
        <w:rPr>
          <w:rFonts w:cs="Times New Roman"/>
          <w:i/>
          <w:iCs/>
        </w:rPr>
        <w:t>Theognis of Megara. Poetry and the Polis</w:t>
      </w:r>
      <w:r w:rsidRPr="00424050">
        <w:rPr>
          <w:rFonts w:cs="Times New Roman"/>
        </w:rPr>
        <w:t>, Baltimore 1985, pp. 159-175)</w:t>
      </w:r>
      <w:r w:rsidR="00C55DD6">
        <w:rPr>
          <w:rFonts w:cs="Times New Roman"/>
        </w:rPr>
        <w:t>,</w:t>
      </w:r>
      <w:r w:rsidRPr="00424050">
        <w:rPr>
          <w:rFonts w:cs="Times New Roman"/>
        </w:rPr>
        <w:t xml:space="preserve"> «</w:t>
      </w:r>
      <w:r w:rsidRPr="00C55DD6">
        <w:rPr>
          <w:rFonts w:cs="Times New Roman"/>
          <w:lang w:val="en-US"/>
        </w:rPr>
        <w:t>The importance of a noble genos derives not so much from birth itself as from the genos as the repository of instruction in dike</w:t>
      </w:r>
      <w:r w:rsidRPr="00424050">
        <w:rPr>
          <w:rFonts w:cs="Times New Roman"/>
        </w:rPr>
        <w:t>» (p.161).</w:t>
      </w:r>
    </w:p>
  </w:footnote>
  <w:footnote w:id="41">
    <w:p w14:paraId="557F1C31" w14:textId="0EF186F4" w:rsidR="0067312F" w:rsidRPr="00C55DD6" w:rsidRDefault="0067312F" w:rsidP="003B7BC3">
      <w:pPr>
        <w:pStyle w:val="Testonotaapidipagina"/>
      </w:pPr>
      <w:r w:rsidRPr="00424050">
        <w:rPr>
          <w:rStyle w:val="Rimandonotaapidipagina"/>
          <w:rFonts w:cs="Times New Roman"/>
        </w:rPr>
        <w:footnoteRef/>
      </w:r>
      <w:r w:rsidRPr="00424050">
        <w:rPr>
          <w:rFonts w:cs="Times New Roman"/>
        </w:rPr>
        <w:t xml:space="preserve"> </w:t>
      </w:r>
      <w:r w:rsidRPr="00424050">
        <w:rPr>
          <w:rFonts w:cs="Times New Roman"/>
          <w:smallCaps/>
        </w:rPr>
        <w:t>D</w:t>
      </w:r>
      <w:r w:rsidR="00C55DD6">
        <w:rPr>
          <w:rFonts w:cs="Times New Roman"/>
          <w:smallCaps/>
        </w:rPr>
        <w:t>emosth</w:t>
      </w:r>
      <w:r w:rsidR="001C6D17" w:rsidRPr="00424050">
        <w:rPr>
          <w:rFonts w:cs="Times New Roman"/>
          <w:smallCaps/>
        </w:rPr>
        <w:t>.</w:t>
      </w:r>
      <w:r w:rsidRPr="00C55DD6">
        <w:t xml:space="preserve"> </w:t>
      </w:r>
      <w:r w:rsidR="0086406F" w:rsidRPr="00C55DD6">
        <w:t>18</w:t>
      </w:r>
      <w:r w:rsidR="00C55DD6" w:rsidRPr="00C55DD6">
        <w:t xml:space="preserve">, </w:t>
      </w:r>
      <w:r w:rsidRPr="00C55DD6">
        <w:t>215.</w:t>
      </w:r>
    </w:p>
  </w:footnote>
  <w:footnote w:id="42">
    <w:p w14:paraId="08696BCE" w14:textId="08E838B1" w:rsidR="0067312F" w:rsidRPr="00424050" w:rsidRDefault="0067312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D</w:t>
      </w:r>
      <w:r w:rsidR="00C55DD6">
        <w:rPr>
          <w:rFonts w:cs="Times New Roman"/>
          <w:smallCaps/>
        </w:rPr>
        <w:t>emosth.</w:t>
      </w:r>
      <w:r w:rsidR="00C36835" w:rsidRPr="00424050">
        <w:rPr>
          <w:rFonts w:cs="Times New Roman"/>
        </w:rPr>
        <w:t xml:space="preserve"> </w:t>
      </w:r>
      <w:r w:rsidR="00F76F90" w:rsidRPr="00424050">
        <w:rPr>
          <w:rFonts w:cs="Times New Roman"/>
        </w:rPr>
        <w:t>22</w:t>
      </w:r>
      <w:r w:rsidR="00C55DD6">
        <w:rPr>
          <w:rFonts w:cs="Times New Roman"/>
        </w:rPr>
        <w:t>,</w:t>
      </w:r>
      <w:r w:rsidR="001C6D17" w:rsidRPr="00424050">
        <w:rPr>
          <w:rFonts w:cs="Times New Roman"/>
        </w:rPr>
        <w:t xml:space="preserve"> </w:t>
      </w:r>
      <w:r w:rsidRPr="00424050">
        <w:rPr>
          <w:rFonts w:cs="Times New Roman"/>
        </w:rPr>
        <w:t xml:space="preserve">64; </w:t>
      </w:r>
      <w:r w:rsidR="00BF49B8" w:rsidRPr="00424050">
        <w:rPr>
          <w:rFonts w:cs="Times New Roman"/>
        </w:rPr>
        <w:t>24</w:t>
      </w:r>
      <w:r w:rsidR="00C55DD6">
        <w:rPr>
          <w:rFonts w:cs="Times New Roman"/>
        </w:rPr>
        <w:t>,</w:t>
      </w:r>
      <w:r w:rsidR="00BF49B8" w:rsidRPr="00424050">
        <w:rPr>
          <w:rFonts w:cs="Times New Roman"/>
        </w:rPr>
        <w:t xml:space="preserve"> </w:t>
      </w:r>
      <w:r w:rsidRPr="00424050">
        <w:rPr>
          <w:rFonts w:cs="Times New Roman"/>
        </w:rPr>
        <w:t>10</w:t>
      </w:r>
      <w:r w:rsidR="000213D1" w:rsidRPr="00424050">
        <w:rPr>
          <w:rFonts w:cs="Times New Roman"/>
        </w:rPr>
        <w:t>;</w:t>
      </w:r>
      <w:r w:rsidRPr="00424050">
        <w:rPr>
          <w:rFonts w:cs="Times New Roman"/>
        </w:rPr>
        <w:t xml:space="preserve"> </w:t>
      </w:r>
      <w:r w:rsidR="00BF49B8" w:rsidRPr="00424050">
        <w:rPr>
          <w:rFonts w:cs="Times New Roman"/>
        </w:rPr>
        <w:t>cfr.</w:t>
      </w:r>
      <w:r w:rsidRPr="00424050">
        <w:rPr>
          <w:rFonts w:cs="Times New Roman"/>
        </w:rPr>
        <w:t xml:space="preserve"> </w:t>
      </w:r>
      <w:r w:rsidR="00BF49B8" w:rsidRPr="00424050">
        <w:rPr>
          <w:rFonts w:cs="Times New Roman"/>
        </w:rPr>
        <w:t>20.</w:t>
      </w:r>
      <w:r w:rsidR="001C6D17" w:rsidRPr="00424050">
        <w:rPr>
          <w:rFonts w:cs="Times New Roman"/>
        </w:rPr>
        <w:t xml:space="preserve"> </w:t>
      </w:r>
      <w:r w:rsidRPr="00424050">
        <w:rPr>
          <w:rFonts w:cs="Times New Roman"/>
        </w:rPr>
        <w:t xml:space="preserve">13-14. S. </w:t>
      </w:r>
      <w:r w:rsidRPr="00424050">
        <w:rPr>
          <w:rFonts w:cs="Times New Roman"/>
          <w:smallCaps/>
        </w:rPr>
        <w:t>Gotteland</w:t>
      </w:r>
      <w:r w:rsidRPr="00424050">
        <w:rPr>
          <w:rFonts w:cs="Times New Roman"/>
        </w:rPr>
        <w:t xml:space="preserve">, </w:t>
      </w:r>
      <w:r w:rsidRPr="00424050">
        <w:rPr>
          <w:rFonts w:cs="Times New Roman"/>
          <w:i/>
          <w:iCs/>
        </w:rPr>
        <w:t>Comment dire l’excellence ? Quelques remarques sur le vocabulaire de la distinction dans les plaidoyers politiques de Démosthène,</w:t>
      </w:r>
      <w:r w:rsidRPr="00424050">
        <w:rPr>
          <w:rFonts w:cs="Times New Roman"/>
        </w:rPr>
        <w:t xml:space="preserve"> «Ktèma»</w:t>
      </w:r>
      <w:r w:rsidR="000213D1" w:rsidRPr="00424050">
        <w:rPr>
          <w:rFonts w:cs="Times New Roman"/>
        </w:rPr>
        <w:t xml:space="preserve"> </w:t>
      </w:r>
      <w:r w:rsidRPr="00424050">
        <w:rPr>
          <w:rFonts w:cs="Times New Roman"/>
        </w:rPr>
        <w:t>29, 2004, pp. 109-126.</w:t>
      </w:r>
    </w:p>
  </w:footnote>
  <w:footnote w:id="43">
    <w:p w14:paraId="77424569" w14:textId="47E06810" w:rsidR="00A8260F" w:rsidRPr="00424050" w:rsidRDefault="00A8260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Sulla formula ortatoria</w:t>
      </w:r>
      <w:r w:rsidR="00E80403" w:rsidRPr="00424050">
        <w:rPr>
          <w:rFonts w:cs="Times New Roman"/>
        </w:rPr>
        <w:t>: A.S</w:t>
      </w:r>
      <w:r w:rsidR="000165EC" w:rsidRPr="00424050">
        <w:rPr>
          <w:rFonts w:cs="Times New Roman"/>
        </w:rPr>
        <w:t>.</w:t>
      </w:r>
      <w:r w:rsidR="00E80403" w:rsidRPr="00424050">
        <w:rPr>
          <w:rFonts w:cs="Times New Roman"/>
        </w:rPr>
        <w:t xml:space="preserve"> </w:t>
      </w:r>
      <w:r w:rsidR="00E80403" w:rsidRPr="00424050">
        <w:rPr>
          <w:rFonts w:cs="Times New Roman"/>
          <w:smallCaps/>
        </w:rPr>
        <w:t>Henry</w:t>
      </w:r>
      <w:r w:rsidR="00E80403" w:rsidRPr="00424050">
        <w:rPr>
          <w:rFonts w:cs="Times New Roman"/>
        </w:rPr>
        <w:t xml:space="preserve">, </w:t>
      </w:r>
      <w:r w:rsidR="00E80403" w:rsidRPr="00424050">
        <w:rPr>
          <w:rFonts w:cs="Times New Roman"/>
          <w:i/>
          <w:iCs/>
        </w:rPr>
        <w:t>The Hortatory Intention in Athenian State Decrees</w:t>
      </w:r>
      <w:r w:rsidR="00E80403" w:rsidRPr="00424050">
        <w:rPr>
          <w:rFonts w:cs="Times New Roman"/>
        </w:rPr>
        <w:t>, «ZPE» 112, 1996, pp. 105</w:t>
      </w:r>
      <w:r w:rsidR="005703BF" w:rsidRPr="00424050">
        <w:rPr>
          <w:rFonts w:cs="Times New Roman"/>
        </w:rPr>
        <w:t>-</w:t>
      </w:r>
      <w:r w:rsidR="00E80403" w:rsidRPr="00424050">
        <w:rPr>
          <w:rFonts w:cs="Times New Roman"/>
        </w:rPr>
        <w:t xml:space="preserve">117; J. </w:t>
      </w:r>
      <w:r w:rsidR="00E80403" w:rsidRPr="00424050">
        <w:rPr>
          <w:rFonts w:cs="Times New Roman"/>
          <w:smallCaps/>
        </w:rPr>
        <w:t>Miller</w:t>
      </w:r>
      <w:r w:rsidR="00E80403" w:rsidRPr="00424050">
        <w:rPr>
          <w:rFonts w:cs="Times New Roman"/>
        </w:rPr>
        <w:t xml:space="preserve">, </w:t>
      </w:r>
      <w:r w:rsidR="00E80403" w:rsidRPr="00424050">
        <w:rPr>
          <w:rFonts w:cs="Times New Roman"/>
          <w:i/>
          <w:iCs/>
        </w:rPr>
        <w:t>Euergetism, Agonism, and Democracy: The Hortatory Intention in Late Classical and Early Hellenistic Athenian Honorific Decrees</w:t>
      </w:r>
      <w:r w:rsidR="00E80403" w:rsidRPr="00424050">
        <w:rPr>
          <w:rFonts w:cs="Times New Roman"/>
        </w:rPr>
        <w:t>, «Hesperia»</w:t>
      </w:r>
      <w:r w:rsidR="000213D1" w:rsidRPr="00424050">
        <w:rPr>
          <w:rFonts w:cs="Times New Roman"/>
        </w:rPr>
        <w:t xml:space="preserve"> </w:t>
      </w:r>
      <w:r w:rsidR="00E80403" w:rsidRPr="00424050">
        <w:rPr>
          <w:rFonts w:cs="Times New Roman"/>
        </w:rPr>
        <w:t>85, 2016, pp. 385-435</w:t>
      </w:r>
      <w:r w:rsidR="000213D1" w:rsidRPr="00424050">
        <w:rPr>
          <w:rFonts w:cs="Times New Roman"/>
        </w:rPr>
        <w:t>.</w:t>
      </w:r>
    </w:p>
  </w:footnote>
  <w:footnote w:id="44">
    <w:p w14:paraId="10F8451A" w14:textId="24A347CF" w:rsidR="00121887" w:rsidRPr="00424050" w:rsidRDefault="00121887"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J. </w:t>
      </w:r>
      <w:r w:rsidRPr="00424050">
        <w:rPr>
          <w:rFonts w:cs="Times New Roman"/>
          <w:smallCaps/>
        </w:rPr>
        <w:t>Miller</w:t>
      </w:r>
      <w:r w:rsidRPr="00424050">
        <w:rPr>
          <w:rFonts w:cs="Times New Roman"/>
        </w:rPr>
        <w:t xml:space="preserve">, </w:t>
      </w:r>
      <w:r w:rsidRPr="00424050">
        <w:rPr>
          <w:rFonts w:cs="Times New Roman"/>
          <w:i/>
          <w:iCs/>
        </w:rPr>
        <w:t>Euergetism, Agonism, and Democracy: The Hortatory Intention in Late Classical and Early Hellenistic Athenian Honorific Decrees</w:t>
      </w:r>
      <w:r w:rsidRPr="00424050">
        <w:rPr>
          <w:rFonts w:cs="Times New Roman"/>
        </w:rPr>
        <w:t>, «Hesperia» 85, 2016, p. 392.</w:t>
      </w:r>
    </w:p>
  </w:footnote>
  <w:footnote w:id="45">
    <w:p w14:paraId="4954D0F8" w14:textId="77777777" w:rsidR="00362D46" w:rsidRPr="00424050" w:rsidRDefault="00362D4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Ll. 4-5: ἐπειδὴ ἡ βουλὴ ἡ ἐπὶ Πυθοδότου ἄρχοντος ψηφισαμένη κρίσιν ποιῆσαι τῶν λεγόντων ἐν τεῖ βουλῆι ἐπὶ τῆς ἐνάτης πρυτ[α]νείας καὶ τιμῆσαι, ὃς ἂν δοκεῖ αὐτεῖ ἄριστα λέγων καὶ πράττων καὶ ἀδωροδοκήτως ὑπὲρ τῆς βουλῆς καὶ τοῦ δήμου τοῦ Ἀθηναίων.</w:t>
      </w:r>
    </w:p>
  </w:footnote>
  <w:footnote w:id="46">
    <w:p w14:paraId="11EB5969" w14:textId="1DB98089" w:rsidR="00F36DF0" w:rsidRPr="00424050" w:rsidRDefault="00F36DF0"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Pr="00424050">
        <w:rPr>
          <w:rFonts w:cs="Times New Roman"/>
        </w:rPr>
        <w:t xml:space="preserve"> II</w:t>
      </w:r>
      <w:r w:rsidRPr="00424050">
        <w:rPr>
          <w:rFonts w:cs="Times New Roman"/>
          <w:vertAlign w:val="superscript"/>
        </w:rPr>
        <w:t>3</w:t>
      </w:r>
      <w:r w:rsidRPr="00424050">
        <w:rPr>
          <w:rFonts w:cs="Times New Roman"/>
        </w:rPr>
        <w:t xml:space="preserve"> 1, 417</w:t>
      </w:r>
      <w:r w:rsidR="007D24E5" w:rsidRPr="00424050">
        <w:rPr>
          <w:rFonts w:cs="Times New Roman"/>
        </w:rPr>
        <w:t>.</w:t>
      </w:r>
      <w:r w:rsidR="00892245" w:rsidRPr="00424050">
        <w:rPr>
          <w:rFonts w:cs="Times New Roman"/>
        </w:rPr>
        <w:t xml:space="preserve"> Si tratta di un decreto di Bule e demo per gli onori di un </w:t>
      </w:r>
      <w:r w:rsidR="00892245" w:rsidRPr="00424050">
        <w:rPr>
          <w:rFonts w:cs="Times New Roman"/>
          <w:i/>
          <w:iCs/>
        </w:rPr>
        <w:t>tamias</w:t>
      </w:r>
      <w:r w:rsidR="00892245" w:rsidRPr="00424050">
        <w:rPr>
          <w:rFonts w:cs="Times New Roman"/>
        </w:rPr>
        <w:t xml:space="preserve"> (col. I, l. 1: τα]μ̣ί̣αν) della tribù Leontide, uomo </w:t>
      </w:r>
      <w:r w:rsidR="00892245" w:rsidRPr="00424050">
        <w:rPr>
          <w:rFonts w:cs="Times New Roman"/>
          <w:i/>
          <w:iCs/>
        </w:rPr>
        <w:t>agathos</w:t>
      </w:r>
      <w:r w:rsidR="00892245" w:rsidRPr="00424050">
        <w:rPr>
          <w:rFonts w:cs="Times New Roman"/>
        </w:rPr>
        <w:t xml:space="preserve"> (l. 3), le cui azioni e i</w:t>
      </w:r>
      <w:r w:rsidR="00E76AE7" w:rsidRPr="00424050">
        <w:rPr>
          <w:rFonts w:cs="Times New Roman"/>
        </w:rPr>
        <w:t xml:space="preserve"> </w:t>
      </w:r>
      <w:r w:rsidR="00892245" w:rsidRPr="00424050">
        <w:rPr>
          <w:rFonts w:cs="Times New Roman"/>
        </w:rPr>
        <w:t>discorsi (l. 7: λέγων καὶ π]ρ̣άττων) hanno ricevuto il plauso della Bule, che rimanda all’</w:t>
      </w:r>
      <w:r w:rsidR="00E76AE7" w:rsidRPr="00424050">
        <w:rPr>
          <w:rFonts w:cs="Times New Roman"/>
        </w:rPr>
        <w:t>E</w:t>
      </w:r>
      <w:r w:rsidR="00892245" w:rsidRPr="00424050">
        <w:rPr>
          <w:rFonts w:cs="Times New Roman"/>
        </w:rPr>
        <w:t>cclesia la votazione di una corona ἀρετῆς ἕνεκα καὶ δικαιοσύνης (ll. 16-17) da conferire dopo i rendiconti (ll. 20-21), mentre il decreto, a spese della cassa dell’Ecclesia destinata ai decreti (ll. 27-29), troverà posto davanti al Bouleuterion (l. 25) ὅπως ἂν φιλοτιμῶνται] καὶ οἱ ἄλλοι λέγειν [καὶ πράττειν τὰ ἄριστα εἰδότ]</w:t>
      </w:r>
      <w:r w:rsidR="00892245" w:rsidRPr="00424050">
        <w:rPr>
          <w:rFonts w:ascii="Garamond Premr Dot" w:hAnsi="Garamond Premr Dot" w:cs="Times New Roman"/>
        </w:rPr>
        <w:t>ε</w:t>
      </w:r>
      <w:r w:rsidR="00892245" w:rsidRPr="00424050">
        <w:rPr>
          <w:rFonts w:ascii="Garamond Premr Dot" w:hAnsi="Garamond Premr Dot" w:cs="Garamond Premr Pro"/>
        </w:rPr>
        <w:t>ς</w:t>
      </w:r>
      <w:r w:rsidR="00892245" w:rsidRPr="00424050">
        <w:rPr>
          <w:rFonts w:cs="Times New Roman"/>
        </w:rPr>
        <w:t>, ὅτι χά̣ρ̣</w:t>
      </w:r>
      <w:r w:rsidR="00892245" w:rsidRPr="00424050">
        <w:rPr>
          <w:rFonts w:cs="Garamond Premr Pro"/>
        </w:rPr>
        <w:t>ι</w:t>
      </w:r>
      <w:r w:rsidR="00892245" w:rsidRPr="00424050">
        <w:rPr>
          <w:rFonts w:cs="Times New Roman"/>
        </w:rPr>
        <w:t>̣</w:t>
      </w:r>
      <w:r w:rsidR="00892245" w:rsidRPr="00424050">
        <w:rPr>
          <w:rFonts w:cs="Garamond Premr Pro"/>
        </w:rPr>
        <w:t>τας</w:t>
      </w:r>
      <w:r w:rsidR="00892245" w:rsidRPr="00424050">
        <w:rPr>
          <w:rFonts w:cs="Times New Roman"/>
        </w:rPr>
        <w:t xml:space="preserve"> ἀξίας ἀπολήψονται παρὰ [τῆς] </w:t>
      </w:r>
      <w:r w:rsidR="00892245" w:rsidRPr="00424050">
        <w:rPr>
          <w:rFonts w:ascii="Garamond Premr Dot" w:hAnsi="Garamond Premr Dot" w:cs="Times New Roman"/>
        </w:rPr>
        <w:t>β</w:t>
      </w:r>
      <w:r w:rsidR="00892245" w:rsidRPr="00424050">
        <w:rPr>
          <w:rFonts w:ascii="Garamond Premr Dot" w:hAnsi="Garamond Premr Dot" w:cs="Garamond Premr Pro"/>
        </w:rPr>
        <w:t>ο</w:t>
      </w:r>
      <w:r w:rsidR="00892245" w:rsidRPr="00424050">
        <w:rPr>
          <w:rFonts w:cs="Times New Roman"/>
        </w:rPr>
        <w:t>[</w:t>
      </w:r>
      <w:r w:rsidR="00892245" w:rsidRPr="00424050">
        <w:rPr>
          <w:rFonts w:cs="Garamond Premr Pro"/>
        </w:rPr>
        <w:t>υ</w:t>
      </w:r>
      <w:r w:rsidR="00892245" w:rsidRPr="00424050">
        <w:rPr>
          <w:rFonts w:cs="Times New Roman"/>
        </w:rPr>
        <w:t>]</w:t>
      </w:r>
      <w:r w:rsidR="00892245" w:rsidRPr="00424050">
        <w:rPr>
          <w:rFonts w:ascii="Garamond Premr Dot" w:hAnsi="Garamond Premr Dot" w:cs="Garamond Premr Pro"/>
        </w:rPr>
        <w:t>λ</w:t>
      </w:r>
      <w:r w:rsidR="00892245" w:rsidRPr="00424050">
        <w:rPr>
          <w:rFonts w:cs="Times New Roman"/>
        </w:rPr>
        <w:t>[ῆ]ς καὶ τοῦ [δήμου] (ll. 29-30).</w:t>
      </w:r>
      <w:r w:rsidR="00C73D0B" w:rsidRPr="00424050">
        <w:rPr>
          <w:rFonts w:cs="Times New Roman"/>
        </w:rPr>
        <w:t xml:space="preserve"> </w:t>
      </w:r>
      <w:r w:rsidR="00593ED9" w:rsidRPr="00424050">
        <w:rPr>
          <w:rFonts w:cs="Times New Roman"/>
        </w:rPr>
        <w:t xml:space="preserve">Degli ultimissimi anni del IV secolo è </w:t>
      </w:r>
      <w:r w:rsidR="00C73D0B" w:rsidRPr="00424050">
        <w:rPr>
          <w:rFonts w:cs="Times New Roman"/>
          <w:i/>
          <w:iCs/>
        </w:rPr>
        <w:t>IG</w:t>
      </w:r>
      <w:r w:rsidR="00C73D0B" w:rsidRPr="00424050">
        <w:rPr>
          <w:rFonts w:cs="Times New Roman"/>
        </w:rPr>
        <w:t xml:space="preserve"> II</w:t>
      </w:r>
      <w:r w:rsidR="00C73D0B" w:rsidRPr="00424050">
        <w:rPr>
          <w:rFonts w:cs="Times New Roman"/>
          <w:vertAlign w:val="superscript"/>
        </w:rPr>
        <w:t>2</w:t>
      </w:r>
      <w:r w:rsidR="00C73D0B" w:rsidRPr="00424050">
        <w:rPr>
          <w:rFonts w:cs="Times New Roman"/>
        </w:rPr>
        <w:t xml:space="preserve"> 498.</w:t>
      </w:r>
      <w:r w:rsidR="002167F2" w:rsidRPr="00424050">
        <w:rPr>
          <w:rFonts w:cs="Times New Roman"/>
        </w:rPr>
        <w:t xml:space="preserve"> </w:t>
      </w:r>
      <w:r w:rsidR="001A0818" w:rsidRPr="00424050">
        <w:rPr>
          <w:rFonts w:cs="Times New Roman"/>
        </w:rPr>
        <w:t xml:space="preserve">Nella forma λέγειν καὶ πράττειν, già presente in </w:t>
      </w:r>
      <w:r w:rsidR="001A0818" w:rsidRPr="00424050">
        <w:rPr>
          <w:rFonts w:cs="Times New Roman"/>
          <w:i/>
          <w:iCs/>
        </w:rPr>
        <w:t>IG</w:t>
      </w:r>
      <w:r w:rsidR="001A0818" w:rsidRPr="00424050">
        <w:rPr>
          <w:rFonts w:cs="Times New Roman"/>
        </w:rPr>
        <w:t xml:space="preserve"> II</w:t>
      </w:r>
      <w:r w:rsidR="001A0818" w:rsidRPr="00424050">
        <w:rPr>
          <w:rFonts w:cs="Times New Roman"/>
          <w:vertAlign w:val="superscript"/>
        </w:rPr>
        <w:t>3</w:t>
      </w:r>
      <w:r w:rsidR="001A0818" w:rsidRPr="00424050">
        <w:rPr>
          <w:rFonts w:cs="Times New Roman"/>
        </w:rPr>
        <w:t xml:space="preserve"> 1, 417 (l</w:t>
      </w:r>
      <w:r w:rsidR="00F37790" w:rsidRPr="00424050">
        <w:rPr>
          <w:rFonts w:cs="Times New Roman"/>
        </w:rPr>
        <w:t>l</w:t>
      </w:r>
      <w:r w:rsidR="001A0818" w:rsidRPr="00424050">
        <w:rPr>
          <w:rFonts w:cs="Times New Roman"/>
        </w:rPr>
        <w:t>.</w:t>
      </w:r>
      <w:r w:rsidR="00F37790" w:rsidRPr="00424050">
        <w:rPr>
          <w:rFonts w:cs="Times New Roman"/>
        </w:rPr>
        <w:t xml:space="preserve"> 29-30</w:t>
      </w:r>
      <w:r w:rsidR="001A0818" w:rsidRPr="00424050">
        <w:rPr>
          <w:rFonts w:cs="Times New Roman"/>
        </w:rPr>
        <w:t>)</w:t>
      </w:r>
      <w:r w:rsidR="00F37790" w:rsidRPr="00424050">
        <w:rPr>
          <w:rFonts w:cs="Times New Roman"/>
        </w:rPr>
        <w:t xml:space="preserve"> l’espressione si ritrova in </w:t>
      </w:r>
      <w:r w:rsidR="00F37790" w:rsidRPr="00424050">
        <w:rPr>
          <w:rFonts w:cs="Times New Roman"/>
          <w:i/>
          <w:iCs/>
        </w:rPr>
        <w:t>IG</w:t>
      </w:r>
      <w:r w:rsidR="00F37790" w:rsidRPr="00424050">
        <w:rPr>
          <w:rFonts w:cs="Times New Roman"/>
        </w:rPr>
        <w:t xml:space="preserve"> II</w:t>
      </w:r>
      <w:r w:rsidR="00F37790" w:rsidRPr="00424050">
        <w:rPr>
          <w:rFonts w:cs="Times New Roman"/>
          <w:vertAlign w:val="superscript"/>
        </w:rPr>
        <w:t>3</w:t>
      </w:r>
      <w:r w:rsidR="00F37790" w:rsidRPr="00424050">
        <w:rPr>
          <w:rFonts w:cs="Times New Roman"/>
        </w:rPr>
        <w:t xml:space="preserve"> 1, 982</w:t>
      </w:r>
      <w:r w:rsidR="00916210" w:rsidRPr="00424050">
        <w:rPr>
          <w:rFonts w:cs="Times New Roman"/>
        </w:rPr>
        <w:t>, datata al 305; una sola altra è attestata per il III secolo</w:t>
      </w:r>
      <w:r w:rsidR="004608CF" w:rsidRPr="00424050">
        <w:rPr>
          <w:rFonts w:cs="Times New Roman"/>
        </w:rPr>
        <w:t xml:space="preserve">: </w:t>
      </w:r>
      <w:r w:rsidR="00916210" w:rsidRPr="00424050">
        <w:rPr>
          <w:rFonts w:cs="Times New Roman"/>
          <w:i/>
          <w:iCs/>
        </w:rPr>
        <w:t>IG</w:t>
      </w:r>
      <w:r w:rsidR="00916210" w:rsidRPr="00424050">
        <w:rPr>
          <w:rFonts w:cs="Times New Roman"/>
        </w:rPr>
        <w:t xml:space="preserve"> II</w:t>
      </w:r>
      <w:r w:rsidR="00916210" w:rsidRPr="00424050">
        <w:rPr>
          <w:rFonts w:cs="Times New Roman"/>
          <w:vertAlign w:val="superscript"/>
        </w:rPr>
        <w:t>3</w:t>
      </w:r>
      <w:r w:rsidR="00916210" w:rsidRPr="00424050">
        <w:rPr>
          <w:rFonts w:cs="Times New Roman"/>
        </w:rPr>
        <w:t xml:space="preserve"> 982 </w:t>
      </w:r>
      <w:r w:rsidR="004608CF" w:rsidRPr="00424050">
        <w:rPr>
          <w:rFonts w:cs="Times New Roman"/>
        </w:rPr>
        <w:t>(</w:t>
      </w:r>
      <w:r w:rsidR="00916210" w:rsidRPr="00424050">
        <w:rPr>
          <w:rFonts w:cs="Times New Roman"/>
        </w:rPr>
        <w:t>276 circa).</w:t>
      </w:r>
    </w:p>
  </w:footnote>
  <w:footnote w:id="47">
    <w:p w14:paraId="69439FB0" w14:textId="5CA49668" w:rsidR="0088751D" w:rsidRPr="00424050" w:rsidRDefault="0088751D"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009A1476" w:rsidRPr="00424050">
        <w:rPr>
          <w:rFonts w:cs="Times New Roman"/>
        </w:rPr>
        <w:t xml:space="preserve"> </w:t>
      </w:r>
      <w:r w:rsidRPr="00424050">
        <w:rPr>
          <w:rFonts w:cs="Times New Roman"/>
        </w:rPr>
        <w:t>II</w:t>
      </w:r>
      <w:r w:rsidRPr="00424050">
        <w:rPr>
          <w:rFonts w:cs="Times New Roman"/>
          <w:vertAlign w:val="superscript"/>
        </w:rPr>
        <w:t>2</w:t>
      </w:r>
      <w:r w:rsidRPr="00424050">
        <w:rPr>
          <w:rFonts w:cs="Times New Roman"/>
        </w:rPr>
        <w:t xml:space="preserve"> 1148 (prima metà del IV secolo</w:t>
      </w:r>
      <w:r w:rsidR="00AD2425" w:rsidRPr="00424050">
        <w:rPr>
          <w:rFonts w:cs="Times New Roman"/>
        </w:rPr>
        <w:t>)</w:t>
      </w:r>
      <w:r w:rsidRPr="00424050">
        <w:rPr>
          <w:rFonts w:cs="Times New Roman"/>
        </w:rPr>
        <w:t>: onori tributati dalla tribù Pandione</w:t>
      </w:r>
      <w:r w:rsidR="007B1287" w:rsidRPr="00424050">
        <w:rPr>
          <w:rFonts w:cs="Times New Roman"/>
        </w:rPr>
        <w:t xml:space="preserve">; </w:t>
      </w:r>
      <w:r w:rsidR="007B1287" w:rsidRPr="00424050">
        <w:rPr>
          <w:rFonts w:cs="Times New Roman"/>
          <w:i/>
          <w:iCs/>
        </w:rPr>
        <w:t>IG</w:t>
      </w:r>
      <w:r w:rsidR="007B1287" w:rsidRPr="00424050">
        <w:rPr>
          <w:rFonts w:cs="Times New Roman"/>
        </w:rPr>
        <w:t xml:space="preserve"> II</w:t>
      </w:r>
      <w:r w:rsidR="007B1287" w:rsidRPr="00424050">
        <w:rPr>
          <w:rFonts w:cs="Times New Roman"/>
          <w:vertAlign w:val="superscript"/>
        </w:rPr>
        <w:t>2</w:t>
      </w:r>
      <w:r w:rsidR="007B1287" w:rsidRPr="00424050">
        <w:rPr>
          <w:rFonts w:cs="Times New Roman"/>
        </w:rPr>
        <w:t xml:space="preserve"> 1153 (metà del IV secolo): onori concessi dalla tribù Ippotoontide</w:t>
      </w:r>
      <w:r w:rsidR="00AD2425" w:rsidRPr="00424050">
        <w:rPr>
          <w:rFonts w:cs="Times New Roman"/>
        </w:rPr>
        <w:t xml:space="preserve">; </w:t>
      </w:r>
      <w:r w:rsidRPr="00424050">
        <w:rPr>
          <w:rFonts w:cs="Times New Roman"/>
          <w:i/>
          <w:iCs/>
        </w:rPr>
        <w:t>IG</w:t>
      </w:r>
      <w:r w:rsidRPr="00424050">
        <w:rPr>
          <w:rFonts w:cs="Times New Roman"/>
        </w:rPr>
        <w:t xml:space="preserve"> XII 6.1. 254 (3</w:t>
      </w:r>
      <w:r w:rsidR="0039190B" w:rsidRPr="00424050">
        <w:rPr>
          <w:rFonts w:cs="Times New Roman"/>
        </w:rPr>
        <w:t>43-334</w:t>
      </w:r>
      <w:r w:rsidRPr="00424050">
        <w:rPr>
          <w:rFonts w:cs="Times New Roman"/>
        </w:rPr>
        <w:t>)</w:t>
      </w:r>
      <w:r w:rsidR="0039190B" w:rsidRPr="00424050">
        <w:rPr>
          <w:rFonts w:cs="Times New Roman"/>
        </w:rPr>
        <w:t>: corona votata dall</w:t>
      </w:r>
      <w:r w:rsidR="00320580" w:rsidRPr="00424050">
        <w:rPr>
          <w:rFonts w:cs="Times New Roman"/>
        </w:rPr>
        <w:t>’</w:t>
      </w:r>
      <w:r w:rsidR="0039190B" w:rsidRPr="00424050">
        <w:rPr>
          <w:rFonts w:cs="Times New Roman"/>
        </w:rPr>
        <w:t>esercito di stanza a Sam</w:t>
      </w:r>
      <w:r w:rsidR="00320580" w:rsidRPr="00424050">
        <w:rPr>
          <w:rFonts w:cs="Times New Roman"/>
        </w:rPr>
        <w:t>o</w:t>
      </w:r>
      <w:r w:rsidR="0039190B" w:rsidRPr="00424050">
        <w:rPr>
          <w:rFonts w:cs="Times New Roman"/>
        </w:rPr>
        <w:t xml:space="preserve"> alla Bule e al demo di Atene</w:t>
      </w:r>
      <w:r w:rsidR="00667980" w:rsidRPr="00424050">
        <w:rPr>
          <w:rFonts w:cs="Times New Roman"/>
        </w:rPr>
        <w:t xml:space="preserve">. Le scarne attestazioni </w:t>
      </w:r>
      <w:r w:rsidR="000044B9" w:rsidRPr="00424050">
        <w:rPr>
          <w:rFonts w:cs="Times New Roman"/>
        </w:rPr>
        <w:t>rimanenti</w:t>
      </w:r>
      <w:r w:rsidR="00667980" w:rsidRPr="00424050">
        <w:rPr>
          <w:rFonts w:cs="Times New Roman"/>
        </w:rPr>
        <w:t xml:space="preserve"> sono dei secoli successivi.</w:t>
      </w:r>
    </w:p>
  </w:footnote>
  <w:footnote w:id="48">
    <w:p w14:paraId="0D7B11E0" w14:textId="3004BC53" w:rsidR="00075A58" w:rsidRPr="00424050" w:rsidRDefault="00075A58"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C55DD6" w:rsidRPr="00424050">
        <w:rPr>
          <w:rFonts w:cs="Times New Roman"/>
          <w:smallCaps/>
        </w:rPr>
        <w:t>D</w:t>
      </w:r>
      <w:r w:rsidR="00C55DD6">
        <w:rPr>
          <w:rFonts w:cs="Times New Roman"/>
          <w:smallCaps/>
        </w:rPr>
        <w:t>emosth.</w:t>
      </w:r>
      <w:r w:rsidR="00C55DD6" w:rsidRPr="00424050">
        <w:rPr>
          <w:rFonts w:cs="Times New Roman"/>
        </w:rPr>
        <w:t xml:space="preserve"> </w:t>
      </w:r>
      <w:r w:rsidR="00223A5C" w:rsidRPr="00424050">
        <w:rPr>
          <w:rFonts w:cs="Times New Roman"/>
        </w:rPr>
        <w:t xml:space="preserve">19, </w:t>
      </w:r>
      <w:r w:rsidR="006C747D" w:rsidRPr="00424050">
        <w:rPr>
          <w:rFonts w:cs="Times New Roman"/>
        </w:rPr>
        <w:t>4; 27; 232; 274</w:t>
      </w:r>
      <w:r w:rsidR="00285AD9" w:rsidRPr="00424050">
        <w:rPr>
          <w:rFonts w:cs="Times New Roman"/>
        </w:rPr>
        <w:t xml:space="preserve"> (343/2).</w:t>
      </w:r>
    </w:p>
  </w:footnote>
  <w:footnote w:id="49">
    <w:p w14:paraId="7216B511" w14:textId="7EB0E8DB" w:rsidR="00BA7ACA" w:rsidRPr="00424050" w:rsidRDefault="00BA7ACA"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C55DD6" w:rsidRPr="00424050">
        <w:rPr>
          <w:rFonts w:cs="Times New Roman"/>
          <w:smallCaps/>
        </w:rPr>
        <w:t>D</w:t>
      </w:r>
      <w:r w:rsidR="00C55DD6">
        <w:rPr>
          <w:rFonts w:cs="Times New Roman"/>
          <w:smallCaps/>
        </w:rPr>
        <w:t>emosth.</w:t>
      </w:r>
      <w:r w:rsidR="00C55DD6" w:rsidRPr="00424050">
        <w:rPr>
          <w:rFonts w:cs="Times New Roman"/>
        </w:rPr>
        <w:t xml:space="preserve"> </w:t>
      </w:r>
      <w:r w:rsidR="00981F78" w:rsidRPr="00424050">
        <w:rPr>
          <w:rFonts w:cs="Times New Roman"/>
        </w:rPr>
        <w:t>18</w:t>
      </w:r>
      <w:r w:rsidR="00C55DD6">
        <w:rPr>
          <w:rFonts w:cs="Times New Roman"/>
        </w:rPr>
        <w:t>,</w:t>
      </w:r>
      <w:r w:rsidR="00981F78" w:rsidRPr="00424050">
        <w:rPr>
          <w:rFonts w:cs="Times New Roman"/>
        </w:rPr>
        <w:t xml:space="preserve"> 250; 19.4 e 232;</w:t>
      </w:r>
      <w:r w:rsidR="00D0466B" w:rsidRPr="00424050">
        <w:rPr>
          <w:rFonts w:cs="Times New Roman"/>
        </w:rPr>
        <w:t xml:space="preserve"> </w:t>
      </w:r>
      <w:r w:rsidR="00981F78" w:rsidRPr="00424050">
        <w:rPr>
          <w:rFonts w:cs="Times New Roman"/>
          <w:smallCaps/>
        </w:rPr>
        <w:t>Aeschin</w:t>
      </w:r>
      <w:r w:rsidR="00981F78" w:rsidRPr="00424050">
        <w:rPr>
          <w:rFonts w:cs="Times New Roman"/>
        </w:rPr>
        <w:t>. 3.82</w:t>
      </w:r>
    </w:p>
  </w:footnote>
  <w:footnote w:id="50">
    <w:p w14:paraId="62C07D9B" w14:textId="29FEA539" w:rsidR="00823E67" w:rsidRPr="00424050" w:rsidRDefault="00823E67"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C. </w:t>
      </w:r>
      <w:r w:rsidRPr="00424050">
        <w:rPr>
          <w:rFonts w:cs="Times New Roman"/>
          <w:smallCaps/>
        </w:rPr>
        <w:t>Taylor</w:t>
      </w:r>
      <w:r w:rsidRPr="00424050">
        <w:rPr>
          <w:rFonts w:cs="Times New Roman"/>
        </w:rPr>
        <w:t xml:space="preserve">, </w:t>
      </w:r>
      <w:r w:rsidRPr="00424050">
        <w:rPr>
          <w:rFonts w:cs="Times New Roman"/>
          <w:i/>
          <w:iCs/>
        </w:rPr>
        <w:t>Bribery in Athenian Politics</w:t>
      </w:r>
      <w:r w:rsidR="00051599" w:rsidRPr="00424050">
        <w:rPr>
          <w:rFonts w:cs="Times New Roman"/>
          <w:i/>
          <w:iCs/>
        </w:rPr>
        <w:t xml:space="preserve"> Part II: Ancient Reaction and Perceptions</w:t>
      </w:r>
      <w:r w:rsidR="00051599" w:rsidRPr="00424050">
        <w:rPr>
          <w:rFonts w:cs="Times New Roman"/>
        </w:rPr>
        <w:t>, «G&amp;R» 48, 2001, pp. 154-172</w:t>
      </w:r>
      <w:r w:rsidR="00FE7105" w:rsidRPr="00424050">
        <w:rPr>
          <w:rFonts w:cs="Times New Roman"/>
        </w:rPr>
        <w:t>.</w:t>
      </w:r>
    </w:p>
  </w:footnote>
  <w:footnote w:id="51">
    <w:p w14:paraId="0601FF72" w14:textId="186218CE" w:rsidR="00E066AF" w:rsidRPr="00424050" w:rsidRDefault="00E066A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C55DD6" w:rsidRPr="00424050">
        <w:rPr>
          <w:rFonts w:cs="Times New Roman"/>
          <w:smallCaps/>
        </w:rPr>
        <w:t>D</w:t>
      </w:r>
      <w:r w:rsidR="00C55DD6">
        <w:rPr>
          <w:rFonts w:cs="Times New Roman"/>
          <w:smallCaps/>
        </w:rPr>
        <w:t>emosth.</w:t>
      </w:r>
      <w:r w:rsidR="00C55DD6" w:rsidRPr="00424050">
        <w:rPr>
          <w:rFonts w:cs="Times New Roman"/>
        </w:rPr>
        <w:t xml:space="preserve"> </w:t>
      </w:r>
      <w:r w:rsidRPr="00424050">
        <w:rPr>
          <w:rFonts w:cs="Times New Roman"/>
        </w:rPr>
        <w:t>59</w:t>
      </w:r>
      <w:r w:rsidR="00C55DD6">
        <w:rPr>
          <w:rFonts w:cs="Times New Roman"/>
        </w:rPr>
        <w:t>,</w:t>
      </w:r>
      <w:r w:rsidRPr="00424050">
        <w:rPr>
          <w:rFonts w:cs="Times New Roman"/>
        </w:rPr>
        <w:t xml:space="preserve"> 92. C. </w:t>
      </w:r>
      <w:r w:rsidRPr="00424050">
        <w:rPr>
          <w:rFonts w:cs="Times New Roman"/>
          <w:smallCaps/>
        </w:rPr>
        <w:t>Müller</w:t>
      </w:r>
      <w:r w:rsidRPr="00424050">
        <w:rPr>
          <w:rFonts w:cs="Times New Roman"/>
        </w:rPr>
        <w:t xml:space="preserve">, </w:t>
      </w:r>
      <w:r w:rsidRPr="00424050">
        <w:rPr>
          <w:rFonts w:cs="Times New Roman"/>
          <w:i/>
          <w:iCs/>
        </w:rPr>
        <w:t>The Uses of Trigonia: Descent, Citizenship and Freeborn Status,</w:t>
      </w:r>
      <w:r w:rsidRPr="00424050">
        <w:rPr>
          <w:rFonts w:cs="Times New Roman"/>
        </w:rPr>
        <w:t xml:space="preserve"> in </w:t>
      </w:r>
      <w:r w:rsidRPr="00424050">
        <w:rPr>
          <w:rFonts w:cs="Times New Roman"/>
          <w:smallCaps/>
        </w:rPr>
        <w:t>Ph. Scheibelreiter</w:t>
      </w:r>
      <w:r w:rsidRPr="00424050">
        <w:rPr>
          <w:rFonts w:cs="Times New Roman"/>
        </w:rPr>
        <w:t xml:space="preserve"> (</w:t>
      </w:r>
      <w:r w:rsidR="003978FF" w:rsidRPr="00424050">
        <w:rPr>
          <w:rFonts w:cs="Times New Roman"/>
        </w:rPr>
        <w:t>Hrs</w:t>
      </w:r>
      <w:r w:rsidRPr="00424050">
        <w:rPr>
          <w:rFonts w:cs="Times New Roman"/>
        </w:rPr>
        <w:t>g.)</w:t>
      </w:r>
      <w:r w:rsidRPr="00424050">
        <w:t>,</w:t>
      </w:r>
      <w:r w:rsidRPr="00424050">
        <w:rPr>
          <w:rFonts w:cs="Times New Roman"/>
        </w:rPr>
        <w:t xml:space="preserve"> </w:t>
      </w:r>
      <w:r w:rsidRPr="00424050">
        <w:rPr>
          <w:rFonts w:cs="Times New Roman"/>
          <w:i/>
          <w:iCs/>
        </w:rPr>
        <w:t>Greek Cities from Pericles to Marcus Aurelius</w:t>
      </w:r>
      <w:r w:rsidRPr="00424050">
        <w:t xml:space="preserve">, in </w:t>
      </w:r>
      <w:r w:rsidRPr="00424050">
        <w:rPr>
          <w:rFonts w:cs="Times New Roman"/>
          <w:i/>
          <w:iCs/>
        </w:rPr>
        <w:t>Vorträge zur griechischen und hellenistischen Rechtsgeschichte</w:t>
      </w:r>
      <w:r w:rsidRPr="00424050">
        <w:rPr>
          <w:rFonts w:cs="Times New Roman"/>
        </w:rPr>
        <w:t xml:space="preserve"> (Gmunden, 22.</w:t>
      </w:r>
      <w:r w:rsidR="005703BF" w:rsidRPr="00424050">
        <w:rPr>
          <w:rFonts w:cs="Times New Roman"/>
        </w:rPr>
        <w:t>-</w:t>
      </w:r>
      <w:r w:rsidRPr="00424050">
        <w:rPr>
          <w:rFonts w:cs="Times New Roman"/>
        </w:rPr>
        <w:t>24</w:t>
      </w:r>
      <w:r w:rsidR="00880F4B" w:rsidRPr="00424050">
        <w:rPr>
          <w:rFonts w:cs="Times New Roman"/>
        </w:rPr>
        <w:t>.</w:t>
      </w:r>
      <w:r w:rsidRPr="00424050">
        <w:rPr>
          <w:rFonts w:cs="Times New Roman"/>
        </w:rPr>
        <w:t xml:space="preserve"> August 2022), </w:t>
      </w:r>
      <w:r w:rsidR="00F158E3" w:rsidRPr="00424050">
        <w:rPr>
          <w:rFonts w:cs="Times New Roman"/>
        </w:rPr>
        <w:t>«</w:t>
      </w:r>
      <w:r w:rsidRPr="00424050">
        <w:rPr>
          <w:rFonts w:cs="Times New Roman"/>
        </w:rPr>
        <w:t>Symposion</w:t>
      </w:r>
      <w:r w:rsidR="00F158E3" w:rsidRPr="00424050">
        <w:rPr>
          <w:rFonts w:cs="Times New Roman"/>
        </w:rPr>
        <w:t>»</w:t>
      </w:r>
      <w:r w:rsidRPr="00424050">
        <w:rPr>
          <w:rFonts w:cs="Times New Roman"/>
        </w:rPr>
        <w:t xml:space="preserve"> 22, 2023, pp. 384-388</w:t>
      </w:r>
      <w:r w:rsidR="00307193" w:rsidRPr="00424050">
        <w:rPr>
          <w:rFonts w:cs="Times New Roman"/>
        </w:rPr>
        <w:t xml:space="preserve"> e</w:t>
      </w:r>
      <w:r w:rsidRPr="00424050">
        <w:rPr>
          <w:rFonts w:cs="Times New Roman"/>
        </w:rPr>
        <w:t xml:space="preserve"> 394</w:t>
      </w:r>
      <w:r w:rsidR="00E34779">
        <w:rPr>
          <w:rFonts w:cs="Times New Roman"/>
        </w:rPr>
        <w:t>-395</w:t>
      </w:r>
      <w:r w:rsidRPr="00424050">
        <w:rPr>
          <w:rFonts w:cs="Times New Roman"/>
        </w:rPr>
        <w:t>.</w:t>
      </w:r>
    </w:p>
  </w:footnote>
  <w:footnote w:id="52">
    <w:p w14:paraId="5BBE6AB6" w14:textId="34D9A515" w:rsidR="00584916" w:rsidRPr="00424050" w:rsidRDefault="00584916"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1B7010" w:rsidRPr="00424050">
        <w:rPr>
          <w:rFonts w:cs="Times New Roman"/>
        </w:rPr>
        <w:t>Ad e</w:t>
      </w:r>
      <w:r w:rsidRPr="00424050">
        <w:rPr>
          <w:rFonts w:cs="Times New Roman"/>
        </w:rPr>
        <w:t xml:space="preserve">s. </w:t>
      </w:r>
      <w:r w:rsidRPr="00424050">
        <w:rPr>
          <w:rFonts w:cs="Times New Roman"/>
          <w:smallCaps/>
        </w:rPr>
        <w:t>Hyp</w:t>
      </w:r>
      <w:r w:rsidRPr="00424050">
        <w:rPr>
          <w:rFonts w:cs="Times New Roman"/>
        </w:rPr>
        <w:t>. 3</w:t>
      </w:r>
      <w:r w:rsidR="00C55DD6">
        <w:rPr>
          <w:rFonts w:cs="Times New Roman"/>
        </w:rPr>
        <w:t xml:space="preserve">, </w:t>
      </w:r>
      <w:r w:rsidRPr="00424050">
        <w:rPr>
          <w:rFonts w:cs="Times New Roman"/>
        </w:rPr>
        <w:t xml:space="preserve">19; </w:t>
      </w:r>
      <w:r w:rsidR="00C55DD6" w:rsidRPr="00424050">
        <w:rPr>
          <w:rFonts w:cs="Times New Roman"/>
          <w:smallCaps/>
        </w:rPr>
        <w:t>D</w:t>
      </w:r>
      <w:r w:rsidR="00C55DD6">
        <w:rPr>
          <w:rFonts w:cs="Times New Roman"/>
          <w:smallCaps/>
        </w:rPr>
        <w:t>emosth.</w:t>
      </w:r>
      <w:r w:rsidR="00C55DD6" w:rsidRPr="00424050">
        <w:rPr>
          <w:rFonts w:cs="Times New Roman"/>
        </w:rPr>
        <w:t xml:space="preserve"> </w:t>
      </w:r>
      <w:r w:rsidRPr="00424050">
        <w:rPr>
          <w:rFonts w:cs="Times New Roman"/>
        </w:rPr>
        <w:t>58</w:t>
      </w:r>
      <w:r w:rsidR="00C55DD6">
        <w:rPr>
          <w:rFonts w:cs="Times New Roman"/>
        </w:rPr>
        <w:t xml:space="preserve">, </w:t>
      </w:r>
      <w:r w:rsidRPr="00424050">
        <w:rPr>
          <w:rFonts w:cs="Times New Roman"/>
        </w:rPr>
        <w:t>17.</w:t>
      </w:r>
    </w:p>
  </w:footnote>
  <w:footnote w:id="53">
    <w:p w14:paraId="330DAAEA" w14:textId="2107D4DF" w:rsidR="007E3289" w:rsidRPr="00424050" w:rsidRDefault="007E3289" w:rsidP="00C55DD6">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FGrHist</w:t>
      </w:r>
      <w:r w:rsidRPr="00424050">
        <w:rPr>
          <w:rFonts w:cs="Times New Roman"/>
        </w:rPr>
        <w:t xml:space="preserve"> 325 F18: </w:t>
      </w:r>
      <w:r w:rsidRPr="00424050">
        <w:rPr>
          <w:rFonts w:eastAsia="Times New Roman" w:cs="Times New Roman"/>
          <w:smallCaps/>
          <w:lang w:eastAsia="it-IT"/>
        </w:rPr>
        <w:t>Harp</w:t>
      </w:r>
      <w:r w:rsidR="00641B9B" w:rsidRPr="00424050">
        <w:rPr>
          <w:rFonts w:eastAsia="Times New Roman" w:cs="Times New Roman"/>
          <w:smallCaps/>
          <w:lang w:eastAsia="it-IT"/>
        </w:rPr>
        <w:t>.</w:t>
      </w:r>
      <w:r w:rsidRPr="00424050">
        <w:rPr>
          <w:rFonts w:eastAsia="Times New Roman" w:cs="Times New Roman"/>
          <w:lang w:eastAsia="it-IT"/>
        </w:rPr>
        <w:t xml:space="preserve"> s.v. Χαλκεῖα</w:t>
      </w:r>
      <w:r w:rsidR="00324205" w:rsidRPr="00424050">
        <w:rPr>
          <w:rFonts w:eastAsia="Times New Roman" w:cs="Times New Roman"/>
          <w:lang w:eastAsia="it-IT"/>
        </w:rPr>
        <w:t>.</w:t>
      </w:r>
      <w:r w:rsidRPr="00424050">
        <w:rPr>
          <w:rFonts w:eastAsia="Times New Roman" w:cs="Times New Roman"/>
          <w:lang w:eastAsia="it-IT"/>
        </w:rPr>
        <w:t xml:space="preserve"> Nel</w:t>
      </w:r>
      <w:r w:rsidR="00324205" w:rsidRPr="00424050">
        <w:rPr>
          <w:rFonts w:eastAsia="Times New Roman" w:cs="Times New Roman"/>
          <w:lang w:eastAsia="it-IT"/>
        </w:rPr>
        <w:t xml:space="preserve"> </w:t>
      </w:r>
      <w:r w:rsidRPr="00424050">
        <w:rPr>
          <w:rFonts w:eastAsia="Times New Roman" w:cs="Times New Roman"/>
          <w:lang w:eastAsia="it-IT"/>
        </w:rPr>
        <w:t xml:space="preserve">frammento leggiamo che Φανόδημος δὲ οὐκ </w:t>
      </w:r>
      <w:r w:rsidR="003978FF" w:rsidRPr="00424050">
        <w:rPr>
          <w:rFonts w:eastAsia="Times New Roman" w:cs="Times New Roman"/>
          <w:lang w:eastAsia="it-IT"/>
        </w:rPr>
        <w:t>Ἀ</w:t>
      </w:r>
      <w:r w:rsidRPr="00424050">
        <w:rPr>
          <w:rFonts w:eastAsia="Times New Roman" w:cs="Times New Roman"/>
          <w:lang w:eastAsia="it-IT"/>
        </w:rPr>
        <w:t>θηνᾶι φησιν ἄγεσθαι τὴν ἑορτὴν ἀλλ</w:t>
      </w:r>
      <w:r w:rsidR="003978FF" w:rsidRPr="00424050">
        <w:rPr>
          <w:rFonts w:eastAsia="Times New Roman" w:cs="Times New Roman"/>
          <w:lang w:eastAsia="it-IT"/>
        </w:rPr>
        <w:t xml:space="preserve">’ </w:t>
      </w:r>
      <w:r w:rsidR="00424050" w:rsidRPr="00424050">
        <w:rPr>
          <w:rFonts w:eastAsia="Times New Roman" w:cs="Times New Roman"/>
          <w:lang w:eastAsia="it-IT"/>
        </w:rPr>
        <w:t>Ἡ</w:t>
      </w:r>
      <w:r w:rsidRPr="00424050">
        <w:rPr>
          <w:rFonts w:eastAsia="Times New Roman" w:cs="Times New Roman"/>
          <w:lang w:eastAsia="it-IT"/>
        </w:rPr>
        <w:t>φαίστωι.</w:t>
      </w:r>
      <w:r w:rsidR="009A1476" w:rsidRPr="00424050">
        <w:rPr>
          <w:rFonts w:eastAsia="Times New Roman" w:cs="Times New Roman"/>
          <w:lang w:eastAsia="it-IT"/>
        </w:rPr>
        <w:t xml:space="preserve"> Per </w:t>
      </w:r>
      <w:r w:rsidR="009A1476" w:rsidRPr="00C55DD6">
        <w:rPr>
          <w:rFonts w:cs="Times New Roman"/>
        </w:rPr>
        <w:t>Efesto</w:t>
      </w:r>
      <w:r w:rsidR="009A1476" w:rsidRPr="00424050">
        <w:rPr>
          <w:rFonts w:eastAsia="Times New Roman" w:cs="Times New Roman"/>
          <w:lang w:eastAsia="it-IT"/>
        </w:rPr>
        <w:t xml:space="preserve"> quale unico dio dei </w:t>
      </w:r>
      <w:r w:rsidR="009A1476" w:rsidRPr="00424050">
        <w:rPr>
          <w:rFonts w:eastAsia="Times New Roman" w:cs="Times New Roman"/>
          <w:i/>
          <w:iCs/>
          <w:lang w:eastAsia="it-IT"/>
        </w:rPr>
        <w:t>Chalkeia</w:t>
      </w:r>
      <w:r w:rsidR="009A1476" w:rsidRPr="00424050">
        <w:rPr>
          <w:rFonts w:eastAsia="Times New Roman" w:cs="Times New Roman"/>
          <w:lang w:eastAsia="it-IT"/>
        </w:rPr>
        <w:t xml:space="preserve"> si veda anche </w:t>
      </w:r>
      <w:r w:rsidR="009A1476" w:rsidRPr="00424050">
        <w:rPr>
          <w:rFonts w:eastAsia="Times New Roman" w:cs="Times New Roman"/>
          <w:smallCaps/>
          <w:lang w:eastAsia="it-IT"/>
        </w:rPr>
        <w:t>Poll</w:t>
      </w:r>
      <w:r w:rsidR="00641B9B" w:rsidRPr="00424050">
        <w:rPr>
          <w:rFonts w:eastAsia="Times New Roman" w:cs="Times New Roman"/>
          <w:smallCaps/>
          <w:lang w:eastAsia="it-IT"/>
        </w:rPr>
        <w:t>.</w:t>
      </w:r>
      <w:r w:rsidR="00F6572E" w:rsidRPr="00424050">
        <w:rPr>
          <w:rFonts w:eastAsia="Times New Roman" w:cs="Times New Roman"/>
          <w:lang w:eastAsia="it-IT"/>
        </w:rPr>
        <w:t xml:space="preserve"> 7</w:t>
      </w:r>
      <w:r w:rsidR="00C55DD6">
        <w:rPr>
          <w:rFonts w:eastAsia="Times New Roman" w:cs="Times New Roman"/>
          <w:lang w:eastAsia="it-IT"/>
        </w:rPr>
        <w:t xml:space="preserve">, </w:t>
      </w:r>
      <w:r w:rsidR="00F6572E" w:rsidRPr="00424050">
        <w:rPr>
          <w:rFonts w:eastAsia="Times New Roman" w:cs="Times New Roman"/>
          <w:lang w:eastAsia="it-IT"/>
        </w:rPr>
        <w:t>105</w:t>
      </w:r>
      <w:r w:rsidR="00F6572E" w:rsidRPr="00424050">
        <w:rPr>
          <w:rFonts w:eastAsia="Times New Roman" w:cs="Times New Roman"/>
          <w:spacing w:val="24"/>
          <w:lang w:eastAsia="it-IT"/>
        </w:rPr>
        <w:t>.</w:t>
      </w:r>
    </w:p>
  </w:footnote>
  <w:footnote w:id="54">
    <w:p w14:paraId="4A351C24" w14:textId="7A11CE34" w:rsidR="002B79C3" w:rsidRPr="00424050" w:rsidRDefault="002B79C3"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Gli studiosi sono oggi orientati a mettere in relazione questa introduzione alla conquista di Lemno da parte di Milziade (</w:t>
      </w:r>
      <w:r w:rsidRPr="00424050">
        <w:rPr>
          <w:rFonts w:cs="Times New Roman"/>
          <w:smallCaps/>
        </w:rPr>
        <w:t>Hdt</w:t>
      </w:r>
      <w:r w:rsidRPr="00424050">
        <w:rPr>
          <w:rFonts w:cs="Times New Roman"/>
        </w:rPr>
        <w:t>. 6</w:t>
      </w:r>
      <w:r w:rsidR="00E34779">
        <w:rPr>
          <w:rFonts w:cs="Times New Roman"/>
        </w:rPr>
        <w:t xml:space="preserve">, </w:t>
      </w:r>
      <w:r w:rsidRPr="00424050">
        <w:rPr>
          <w:rFonts w:cs="Times New Roman"/>
        </w:rPr>
        <w:t xml:space="preserve">137-140): </w:t>
      </w:r>
      <w:r w:rsidRPr="00424050">
        <w:rPr>
          <w:rFonts w:cs="Times New Roman"/>
          <w:smallCaps/>
        </w:rPr>
        <w:t xml:space="preserve">C. Cruciani </w:t>
      </w:r>
      <w:r w:rsidR="005703BF" w:rsidRPr="00424050">
        <w:rPr>
          <w:rFonts w:cs="Times New Roman"/>
          <w:smallCaps/>
        </w:rPr>
        <w:t>-</w:t>
      </w:r>
      <w:r w:rsidRPr="00424050">
        <w:rPr>
          <w:rFonts w:cs="Times New Roman"/>
          <w:smallCaps/>
        </w:rPr>
        <w:t xml:space="preserve"> L. Fiorini</w:t>
      </w:r>
      <w:r w:rsidRPr="00424050">
        <w:rPr>
          <w:rFonts w:cs="Times New Roman"/>
        </w:rPr>
        <w:t xml:space="preserve">, </w:t>
      </w:r>
      <w:r w:rsidRPr="00424050">
        <w:rPr>
          <w:rFonts w:cs="Times New Roman"/>
          <w:i/>
          <w:iCs/>
        </w:rPr>
        <w:t>Modelli del moderato: la Stoa Poikile e l</w:t>
      </w:r>
      <w:r w:rsidR="003978FF" w:rsidRPr="00424050">
        <w:rPr>
          <w:rFonts w:cs="Times New Roman"/>
          <w:i/>
          <w:iCs/>
        </w:rPr>
        <w:t>’</w:t>
      </w:r>
      <w:r w:rsidRPr="00424050">
        <w:rPr>
          <w:rFonts w:cs="Times New Roman"/>
          <w:i/>
          <w:iCs/>
        </w:rPr>
        <w:t>Hephaisteion di Atene nel programma edilizio cimoniano</w:t>
      </w:r>
      <w:r w:rsidRPr="00424050">
        <w:rPr>
          <w:rFonts w:cs="Times New Roman"/>
        </w:rPr>
        <w:t xml:space="preserve">, Napoli 1998, pp. 132-138; F. </w:t>
      </w:r>
      <w:r w:rsidRPr="00424050">
        <w:rPr>
          <w:rFonts w:cs="Times New Roman"/>
          <w:smallCaps/>
        </w:rPr>
        <w:t>Longo</w:t>
      </w:r>
      <w:r w:rsidRPr="00424050">
        <w:rPr>
          <w:rFonts w:cs="Times New Roman"/>
        </w:rPr>
        <w:t xml:space="preserve">, </w:t>
      </w:r>
      <w:r w:rsidRPr="00424050">
        <w:rPr>
          <w:rFonts w:cs="Times New Roman"/>
          <w:i/>
          <w:iCs/>
        </w:rPr>
        <w:t>La definizione di un “nuovo” spazio pubblico: l</w:t>
      </w:r>
      <w:r w:rsidR="003978FF" w:rsidRPr="00424050">
        <w:rPr>
          <w:rFonts w:cs="Times New Roman"/>
          <w:i/>
          <w:iCs/>
        </w:rPr>
        <w:t>’</w:t>
      </w:r>
      <w:r w:rsidRPr="00424050">
        <w:rPr>
          <w:rFonts w:cs="Times New Roman"/>
          <w:i/>
          <w:iCs/>
        </w:rPr>
        <w:t>agora del Ceramico dalla “nascita” alla spedizione in Sicilia</w:t>
      </w:r>
      <w:r w:rsidRPr="00424050">
        <w:rPr>
          <w:rFonts w:cs="Times New Roman"/>
        </w:rPr>
        <w:t xml:space="preserve">, in </w:t>
      </w:r>
      <w:r w:rsidRPr="00424050">
        <w:rPr>
          <w:rFonts w:cs="Times New Roman"/>
          <w:smallCaps/>
        </w:rPr>
        <w:t>E. Greco - M. Lombardo</w:t>
      </w:r>
      <w:r w:rsidRPr="00424050">
        <w:rPr>
          <w:rFonts w:cs="Times New Roman"/>
        </w:rPr>
        <w:t xml:space="preserve"> (curr.), </w:t>
      </w:r>
      <w:r w:rsidRPr="00424050">
        <w:rPr>
          <w:rFonts w:cs="Times New Roman"/>
          <w:i/>
          <w:iCs/>
        </w:rPr>
        <w:t>Atene e l</w:t>
      </w:r>
      <w:r w:rsidR="003978FF" w:rsidRPr="00424050">
        <w:rPr>
          <w:rFonts w:cs="Times New Roman"/>
          <w:i/>
          <w:iCs/>
        </w:rPr>
        <w:t>’</w:t>
      </w:r>
      <w:r w:rsidRPr="00424050">
        <w:rPr>
          <w:rFonts w:cs="Times New Roman"/>
          <w:i/>
          <w:iCs/>
        </w:rPr>
        <w:t>Occidente. I grandi temi</w:t>
      </w:r>
      <w:r w:rsidR="00E34779">
        <w:t>.</w:t>
      </w:r>
      <w:r w:rsidRPr="00E34779">
        <w:t xml:space="preserve"> Atti del Convegno Internazionale (Atene</w:t>
      </w:r>
      <w:r w:rsidR="00E34779">
        <w:t>,</w:t>
      </w:r>
      <w:r w:rsidRPr="00E34779">
        <w:t xml:space="preserve"> 25-27 maggio 2006), Atene</w:t>
      </w:r>
      <w:r w:rsidRPr="00424050">
        <w:rPr>
          <w:rFonts w:cs="Times New Roman"/>
        </w:rPr>
        <w:t xml:space="preserve"> 2007, pp. 117-153. R. Di </w:t>
      </w:r>
      <w:r w:rsidRPr="00424050">
        <w:rPr>
          <w:rFonts w:cs="Times New Roman"/>
          <w:smallCaps/>
        </w:rPr>
        <w:t>Cesare</w:t>
      </w:r>
      <w:r w:rsidRPr="00424050">
        <w:rPr>
          <w:rFonts w:cs="Times New Roman"/>
        </w:rPr>
        <w:t xml:space="preserve">, </w:t>
      </w:r>
      <w:r w:rsidRPr="00424050">
        <w:rPr>
          <w:rFonts w:cs="Times New Roman"/>
          <w:i/>
          <w:iCs/>
        </w:rPr>
        <w:t>L</w:t>
      </w:r>
      <w:r w:rsidR="003978FF" w:rsidRPr="00424050">
        <w:rPr>
          <w:rFonts w:cs="Times New Roman"/>
          <w:i/>
          <w:iCs/>
        </w:rPr>
        <w:t>’</w:t>
      </w:r>
      <w:r w:rsidRPr="00424050">
        <w:rPr>
          <w:rFonts w:cs="Times New Roman"/>
          <w:i/>
          <w:iCs/>
        </w:rPr>
        <w:t>Agora del Ceramico nel V sec. a.C. e la sua “politicità”</w:t>
      </w:r>
      <w:r w:rsidRPr="00424050">
        <w:rPr>
          <w:rFonts w:cs="Times New Roman"/>
        </w:rPr>
        <w:t xml:space="preserve">, in </w:t>
      </w:r>
      <w:r w:rsidRPr="00424050">
        <w:rPr>
          <w:rFonts w:cs="Times New Roman"/>
          <w:i/>
          <w:iCs/>
        </w:rPr>
        <w:t>Atene e la Magna Grecia dall</w:t>
      </w:r>
      <w:r w:rsidR="003978FF" w:rsidRPr="00424050">
        <w:rPr>
          <w:rFonts w:cs="Times New Roman"/>
          <w:i/>
          <w:iCs/>
        </w:rPr>
        <w:t>’</w:t>
      </w:r>
      <w:r w:rsidRPr="00424050">
        <w:rPr>
          <w:rFonts w:cs="Times New Roman"/>
          <w:i/>
          <w:iCs/>
        </w:rPr>
        <w:t>età arcaica all</w:t>
      </w:r>
      <w:r w:rsidR="003978FF" w:rsidRPr="00424050">
        <w:rPr>
          <w:rFonts w:cs="Times New Roman"/>
          <w:i/>
          <w:iCs/>
        </w:rPr>
        <w:t>’</w:t>
      </w:r>
      <w:r w:rsidRPr="00424050">
        <w:rPr>
          <w:rFonts w:cs="Times New Roman"/>
          <w:i/>
          <w:iCs/>
        </w:rPr>
        <w:t>ellenismo</w:t>
      </w:r>
      <w:r w:rsidR="00E34779" w:rsidRPr="00E34779">
        <w:t xml:space="preserve">. </w:t>
      </w:r>
      <w:r w:rsidRPr="00E34779">
        <w:t>Atti del quarantasettesimo convegno di studi sulla Magna Grecia</w:t>
      </w:r>
      <w:r w:rsidR="00E34779" w:rsidRPr="00E34779">
        <w:t xml:space="preserve"> (</w:t>
      </w:r>
      <w:r w:rsidRPr="00E34779">
        <w:t>Taranto</w:t>
      </w:r>
      <w:r w:rsidR="00E34779" w:rsidRPr="00E34779">
        <w:t>,</w:t>
      </w:r>
      <w:r w:rsidRPr="00E34779">
        <w:t xml:space="preserve"> 27-30 settembre 2007),</w:t>
      </w:r>
      <w:r w:rsidRPr="00424050">
        <w:rPr>
          <w:rFonts w:cs="Times New Roman"/>
        </w:rPr>
        <w:t xml:space="preserve"> Taranto 2008, pp. 93-104; </w:t>
      </w:r>
      <w:r w:rsidRPr="00424050">
        <w:rPr>
          <w:rFonts w:cs="Times New Roman"/>
          <w:smallCaps/>
        </w:rPr>
        <w:t xml:space="preserve">E. Greco </w:t>
      </w:r>
      <w:r w:rsidR="005703BF" w:rsidRPr="00424050">
        <w:rPr>
          <w:rFonts w:cs="Times New Roman"/>
          <w:smallCaps/>
        </w:rPr>
        <w:t>-</w:t>
      </w:r>
      <w:r w:rsidRPr="00424050">
        <w:rPr>
          <w:rFonts w:cs="Times New Roman"/>
          <w:smallCaps/>
        </w:rPr>
        <w:t xml:space="preserve"> L. Ficuciello</w:t>
      </w:r>
      <w:r w:rsidRPr="00424050">
        <w:rPr>
          <w:rFonts w:cs="Times New Roman"/>
        </w:rPr>
        <w:t xml:space="preserve">, </w:t>
      </w:r>
      <w:r w:rsidRPr="00424050">
        <w:rPr>
          <w:rFonts w:cs="Times New Roman"/>
          <w:i/>
          <w:iCs/>
        </w:rPr>
        <w:t xml:space="preserve">Cesure e continuità: Lemno, dai </w:t>
      </w:r>
      <w:r w:rsidR="003978FF" w:rsidRPr="00424050">
        <w:rPr>
          <w:rFonts w:cs="Times New Roman"/>
          <w:i/>
          <w:iCs/>
        </w:rPr>
        <w:t>‘</w:t>
      </w:r>
      <w:r w:rsidRPr="00424050">
        <w:rPr>
          <w:rFonts w:cs="Times New Roman"/>
          <w:i/>
          <w:iCs/>
        </w:rPr>
        <w:t>Tirreni</w:t>
      </w:r>
      <w:r w:rsidR="003978FF" w:rsidRPr="00424050">
        <w:rPr>
          <w:rFonts w:cs="Times New Roman"/>
          <w:i/>
          <w:iCs/>
        </w:rPr>
        <w:t>’</w:t>
      </w:r>
      <w:r w:rsidRPr="00424050">
        <w:rPr>
          <w:rFonts w:cs="Times New Roman"/>
          <w:i/>
          <w:iCs/>
        </w:rPr>
        <w:t xml:space="preserve"> agli Ateniesi</w:t>
      </w:r>
      <w:r w:rsidRPr="00424050">
        <w:rPr>
          <w:rFonts w:cs="Times New Roman"/>
        </w:rPr>
        <w:t>, «ASAtene» 88, 2010, pp. 149-168.</w:t>
      </w:r>
    </w:p>
  </w:footnote>
  <w:footnote w:id="55">
    <w:p w14:paraId="72857ED8" w14:textId="43A0E6EB" w:rsidR="002B79C3" w:rsidRPr="00424050" w:rsidRDefault="002B79C3"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F. </w:t>
      </w:r>
      <w:r w:rsidRPr="00424050">
        <w:rPr>
          <w:rFonts w:cs="Times New Roman"/>
          <w:smallCaps/>
        </w:rPr>
        <w:t>Giovagnorio</w:t>
      </w:r>
      <w:r w:rsidRPr="00424050">
        <w:rPr>
          <w:rFonts w:cs="Times New Roman"/>
        </w:rPr>
        <w:t xml:space="preserve">, </w:t>
      </w:r>
      <w:r w:rsidRPr="00424050">
        <w:rPr>
          <w:rFonts w:cs="Times New Roman"/>
          <w:i/>
          <w:iCs/>
        </w:rPr>
        <w:t>Athena Ergane sull</w:t>
      </w:r>
      <w:r w:rsidR="003978FF" w:rsidRPr="00424050">
        <w:rPr>
          <w:rFonts w:cs="Times New Roman"/>
          <w:i/>
          <w:iCs/>
        </w:rPr>
        <w:t>’</w:t>
      </w:r>
      <w:r w:rsidRPr="00424050">
        <w:rPr>
          <w:rFonts w:cs="Times New Roman"/>
          <w:i/>
          <w:iCs/>
        </w:rPr>
        <w:t>Acropoli di Atene. Analisi delle testimonianze epigrafiche</w:t>
      </w:r>
      <w:r w:rsidRPr="00424050">
        <w:rPr>
          <w:rFonts w:cs="Times New Roman"/>
        </w:rPr>
        <w:t xml:space="preserve">, in </w:t>
      </w:r>
      <w:r w:rsidRPr="00424050">
        <w:rPr>
          <w:rFonts w:cs="Times New Roman"/>
          <w:smallCaps/>
        </w:rPr>
        <w:t>F. Camia</w:t>
      </w:r>
      <w:r w:rsidRPr="00424050">
        <w:rPr>
          <w:rFonts w:cs="Times New Roman"/>
        </w:rPr>
        <w:t xml:space="preserve"> </w:t>
      </w:r>
      <w:r w:rsidR="005703BF" w:rsidRPr="00424050">
        <w:rPr>
          <w:rFonts w:cs="Times New Roman"/>
        </w:rPr>
        <w:t>-</w:t>
      </w:r>
      <w:r w:rsidRPr="00424050">
        <w:rPr>
          <w:rFonts w:cs="Times New Roman"/>
        </w:rPr>
        <w:t xml:space="preserve"> L. </w:t>
      </w:r>
      <w:r w:rsidRPr="00424050">
        <w:rPr>
          <w:rFonts w:cs="Times New Roman"/>
          <w:smallCaps/>
        </w:rPr>
        <w:t>Del Monaco</w:t>
      </w:r>
      <w:r w:rsidRPr="00424050">
        <w:rPr>
          <w:rFonts w:cs="Times New Roman"/>
        </w:rPr>
        <w:t xml:space="preserve"> </w:t>
      </w:r>
      <w:r w:rsidR="005703BF" w:rsidRPr="00424050">
        <w:rPr>
          <w:rFonts w:cs="Times New Roman"/>
        </w:rPr>
        <w:t>-</w:t>
      </w:r>
      <w:r w:rsidRPr="00424050">
        <w:rPr>
          <w:rFonts w:cs="Times New Roman"/>
        </w:rPr>
        <w:t xml:space="preserve"> </w:t>
      </w:r>
      <w:r w:rsidRPr="00424050">
        <w:rPr>
          <w:rFonts w:cs="Times New Roman"/>
          <w:smallCaps/>
        </w:rPr>
        <w:t>M. Nocita</w:t>
      </w:r>
      <w:r w:rsidRPr="00424050">
        <w:rPr>
          <w:rFonts w:cs="Times New Roman"/>
        </w:rPr>
        <w:t xml:space="preserve"> (a cura di), </w:t>
      </w:r>
      <w:r w:rsidRPr="00424050">
        <w:rPr>
          <w:rFonts w:cs="Times New Roman"/>
          <w:i/>
          <w:iCs/>
        </w:rPr>
        <w:t>Munus Laetitiae. Studi miscellanei offerti a Maria Letizia Lazzarini</w:t>
      </w:r>
      <w:r w:rsidRPr="00424050">
        <w:rPr>
          <w:rFonts w:cs="Times New Roman"/>
        </w:rPr>
        <w:t xml:space="preserve">, vol. 2, Roma 2018, pp. 43-59. Sul luogo di culto della dea Ergane: V. </w:t>
      </w:r>
      <w:r w:rsidRPr="00424050">
        <w:rPr>
          <w:rFonts w:cs="Times New Roman"/>
          <w:smallCaps/>
        </w:rPr>
        <w:t>Consoli</w:t>
      </w:r>
      <w:r w:rsidRPr="00424050">
        <w:rPr>
          <w:rFonts w:cs="Times New Roman"/>
        </w:rPr>
        <w:t>, A</w:t>
      </w:r>
      <w:r w:rsidRPr="00424050">
        <w:rPr>
          <w:rFonts w:cs="Times New Roman"/>
          <w:i/>
          <w:iCs/>
        </w:rPr>
        <w:t>thena Ergane. Sorgere di un culto sull</w:t>
      </w:r>
      <w:r w:rsidR="003978FF" w:rsidRPr="00424050">
        <w:rPr>
          <w:rFonts w:cs="Times New Roman"/>
          <w:i/>
          <w:iCs/>
        </w:rPr>
        <w:t>’</w:t>
      </w:r>
      <w:r w:rsidRPr="00424050">
        <w:rPr>
          <w:rFonts w:cs="Times New Roman"/>
          <w:i/>
          <w:iCs/>
        </w:rPr>
        <w:t>Acropoli di Atene</w:t>
      </w:r>
      <w:r w:rsidRPr="00424050">
        <w:rPr>
          <w:rFonts w:cs="Times New Roman"/>
        </w:rPr>
        <w:t>, «ASAAtene» LXXXII, III, 4, I, 2004, pp. 31-60. Già Platone vedeva l</w:t>
      </w:r>
      <w:r w:rsidR="003978FF" w:rsidRPr="00424050">
        <w:rPr>
          <w:rFonts w:cs="Times New Roman"/>
        </w:rPr>
        <w:t>’</w:t>
      </w:r>
      <w:r w:rsidRPr="00424050">
        <w:rPr>
          <w:rFonts w:cs="Times New Roman"/>
        </w:rPr>
        <w:t>unione di Efesto ed Atena come unione volta all</w:t>
      </w:r>
      <w:r w:rsidR="003978FF" w:rsidRPr="00424050">
        <w:rPr>
          <w:rFonts w:cs="Times New Roman"/>
        </w:rPr>
        <w:t>’</w:t>
      </w:r>
      <w:r w:rsidRPr="00424050">
        <w:rPr>
          <w:rFonts w:cs="Times New Roman"/>
        </w:rPr>
        <w:t xml:space="preserve">ordine politico: </w:t>
      </w:r>
      <w:r w:rsidRPr="00424050">
        <w:rPr>
          <w:rFonts w:cs="Times New Roman"/>
          <w:smallCaps/>
        </w:rPr>
        <w:t>Pl</w:t>
      </w:r>
      <w:r w:rsidRPr="00424050">
        <w:rPr>
          <w:rFonts w:cs="Times New Roman"/>
        </w:rPr>
        <w:t xml:space="preserve">. </w:t>
      </w:r>
      <w:r w:rsidRPr="00424050">
        <w:rPr>
          <w:rFonts w:cs="Times New Roman"/>
          <w:i/>
          <w:iCs/>
        </w:rPr>
        <w:t>Criti</w:t>
      </w:r>
      <w:r w:rsidRPr="00424050">
        <w:rPr>
          <w:rFonts w:cs="Times New Roman"/>
        </w:rPr>
        <w:t>.109c-d.</w:t>
      </w:r>
      <w:r w:rsidR="00347214" w:rsidRPr="00424050">
        <w:rPr>
          <w:rFonts w:eastAsia="Times-Roman" w:cs="Times New Roman"/>
        </w:rPr>
        <w:t xml:space="preserve"> Sull</w:t>
      </w:r>
      <w:r w:rsidR="003978FF" w:rsidRPr="00424050">
        <w:rPr>
          <w:rFonts w:eastAsia="Times-Roman" w:cs="Times New Roman"/>
        </w:rPr>
        <w:t>’</w:t>
      </w:r>
      <w:r w:rsidR="00347214" w:rsidRPr="00424050">
        <w:rPr>
          <w:rFonts w:eastAsia="Times-Roman" w:cs="Times New Roman"/>
        </w:rPr>
        <w:t xml:space="preserve">associazione tra le due divinità cfr. M. </w:t>
      </w:r>
      <w:r w:rsidR="00347214" w:rsidRPr="00424050">
        <w:rPr>
          <w:rFonts w:eastAsia="Times-Roman" w:cs="Times New Roman"/>
          <w:smallCaps/>
        </w:rPr>
        <w:t>Delcourt</w:t>
      </w:r>
      <w:r w:rsidR="00347214" w:rsidRPr="00424050">
        <w:rPr>
          <w:rFonts w:eastAsia="Times-Roman" w:cs="Times New Roman"/>
        </w:rPr>
        <w:t xml:space="preserve">, </w:t>
      </w:r>
      <w:r w:rsidR="00347214" w:rsidRPr="00424050">
        <w:rPr>
          <w:rFonts w:eastAsia="Times-Roman" w:cs="Times New Roman"/>
          <w:i/>
          <w:iCs/>
        </w:rPr>
        <w:t>Héphaistos ou La légende du magicien</w:t>
      </w:r>
      <w:r w:rsidR="00347214" w:rsidRPr="00424050">
        <w:rPr>
          <w:rFonts w:eastAsia="Times-Roman" w:cs="Times New Roman"/>
        </w:rPr>
        <w:t xml:space="preserve">, Paris 19822, pp. 191-197; G. </w:t>
      </w:r>
      <w:r w:rsidR="00347214" w:rsidRPr="00424050">
        <w:rPr>
          <w:rFonts w:eastAsia="Times-Roman" w:cs="Times New Roman"/>
          <w:smallCaps/>
        </w:rPr>
        <w:t>Capdeville</w:t>
      </w:r>
      <w:r w:rsidR="00347214" w:rsidRPr="00424050">
        <w:rPr>
          <w:rFonts w:eastAsia="Times-Roman" w:cs="Times New Roman"/>
        </w:rPr>
        <w:t xml:space="preserve">, </w:t>
      </w:r>
      <w:r w:rsidR="00347214" w:rsidRPr="00424050">
        <w:rPr>
          <w:rFonts w:eastAsia="Times-Roman" w:cs="Times New Roman"/>
          <w:i/>
          <w:iCs/>
        </w:rPr>
        <w:t>Volcanus. Recherches comparatistes sur les origines du culte de Vulcain</w:t>
      </w:r>
      <w:r w:rsidR="00347214" w:rsidRPr="00424050">
        <w:rPr>
          <w:rFonts w:eastAsia="Times-Roman" w:cs="Times New Roman"/>
        </w:rPr>
        <w:t>, Rome 1995, pp. 283-287.</w:t>
      </w:r>
    </w:p>
  </w:footnote>
  <w:footnote w:id="56">
    <w:p w14:paraId="360806DC" w14:textId="2C5889A9" w:rsidR="002B79C3" w:rsidRPr="00424050" w:rsidRDefault="002B79C3"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L. </w:t>
      </w:r>
      <w:r w:rsidRPr="00424050">
        <w:rPr>
          <w:rFonts w:cs="Times New Roman"/>
          <w:smallCaps/>
        </w:rPr>
        <w:t xml:space="preserve">Deubner, </w:t>
      </w:r>
      <w:r w:rsidRPr="00424050">
        <w:rPr>
          <w:rFonts w:cs="Times New Roman"/>
          <w:i/>
          <w:iCs/>
        </w:rPr>
        <w:t>Attische Feste,</w:t>
      </w:r>
      <w:r w:rsidRPr="00424050">
        <w:rPr>
          <w:rFonts w:cs="Times New Roman"/>
        </w:rPr>
        <w:t xml:space="preserve"> Berlin 1932, pp. 35-36; W.H. </w:t>
      </w:r>
      <w:r w:rsidRPr="00424050">
        <w:rPr>
          <w:rFonts w:cs="Times New Roman"/>
          <w:smallCaps/>
        </w:rPr>
        <w:t>Parke</w:t>
      </w:r>
      <w:r w:rsidRPr="00424050">
        <w:rPr>
          <w:rFonts w:cs="Times New Roman"/>
        </w:rPr>
        <w:t xml:space="preserve">, </w:t>
      </w:r>
      <w:r w:rsidRPr="00424050">
        <w:rPr>
          <w:rFonts w:cs="Times New Roman"/>
          <w:i/>
          <w:iCs/>
        </w:rPr>
        <w:t>Festivals of the Athenians</w:t>
      </w:r>
      <w:r w:rsidRPr="00424050">
        <w:rPr>
          <w:rFonts w:cs="Times New Roman"/>
        </w:rPr>
        <w:t xml:space="preserve">, London 1977, pp. 171-172; E. </w:t>
      </w:r>
      <w:r w:rsidRPr="00424050">
        <w:rPr>
          <w:rFonts w:cs="Times New Roman"/>
          <w:smallCaps/>
        </w:rPr>
        <w:t>Simon</w:t>
      </w:r>
      <w:r w:rsidRPr="00424050">
        <w:rPr>
          <w:rFonts w:cs="Times New Roman"/>
        </w:rPr>
        <w:t xml:space="preserve">, </w:t>
      </w:r>
      <w:r w:rsidRPr="00424050">
        <w:rPr>
          <w:rFonts w:cs="Times New Roman"/>
          <w:i/>
          <w:iCs/>
        </w:rPr>
        <w:t>Festivals of Attica. An Archeological Commentary</w:t>
      </w:r>
      <w:r w:rsidRPr="00424050">
        <w:rPr>
          <w:rFonts w:cs="Times New Roman"/>
        </w:rPr>
        <w:t xml:space="preserve">, Madison 1983, p. 51; </w:t>
      </w:r>
      <w:r w:rsidRPr="00424050">
        <w:rPr>
          <w:rFonts w:cs="Times New Roman"/>
          <w:smallCaps/>
        </w:rPr>
        <w:t>M. Valdés Guía</w:t>
      </w:r>
      <w:r w:rsidRPr="00424050">
        <w:rPr>
          <w:rFonts w:cs="Times New Roman"/>
        </w:rPr>
        <w:t xml:space="preserve">, </w:t>
      </w:r>
      <w:r w:rsidRPr="00424050">
        <w:rPr>
          <w:rFonts w:cs="Times New Roman"/>
          <w:i/>
          <w:iCs/>
        </w:rPr>
        <w:t>De las Calqueas a las Hefestias: consideraciones sobre los artesanos, la ciudadanía y Hefesto</w:t>
      </w:r>
      <w:r w:rsidRPr="00424050">
        <w:rPr>
          <w:rFonts w:cs="Times New Roman"/>
        </w:rPr>
        <w:t xml:space="preserve">, «DHA» 41, 2015, pp. 19-40; </w:t>
      </w:r>
      <w:r w:rsidRPr="00424050">
        <w:rPr>
          <w:rFonts w:cs="Times New Roman"/>
          <w:smallCaps/>
        </w:rPr>
        <w:t>Ead</w:t>
      </w:r>
      <w:r w:rsidRPr="00424050">
        <w:rPr>
          <w:rFonts w:cs="Times New Roman"/>
        </w:rPr>
        <w:t xml:space="preserve">., </w:t>
      </w:r>
      <w:r w:rsidRPr="00424050">
        <w:rPr>
          <w:rFonts w:cs="Times New Roman"/>
          <w:i/>
          <w:iCs/>
        </w:rPr>
        <w:t>Entre Atenea y Hefesto: de las Calqueas a las Panateneas</w:t>
      </w:r>
      <w:r w:rsidRPr="00424050">
        <w:rPr>
          <w:rFonts w:cs="Times New Roman"/>
        </w:rPr>
        <w:t xml:space="preserve">, in </w:t>
      </w:r>
      <w:r w:rsidRPr="00424050">
        <w:rPr>
          <w:rFonts w:cs="Times New Roman"/>
          <w:smallCaps/>
        </w:rPr>
        <w:t xml:space="preserve">J. Villa Polo </w:t>
      </w:r>
      <w:r w:rsidR="005703BF" w:rsidRPr="00424050">
        <w:rPr>
          <w:rFonts w:cs="Times New Roman"/>
          <w:smallCaps/>
        </w:rPr>
        <w:t>-</w:t>
      </w:r>
      <w:r w:rsidRPr="00424050">
        <w:rPr>
          <w:rFonts w:cs="Times New Roman"/>
          <w:smallCaps/>
        </w:rPr>
        <w:t xml:space="preserve"> E. Falque Rey - J.F. González Castro - M.J. Muñoz Jiménez</w:t>
      </w:r>
      <w:r w:rsidRPr="00424050">
        <w:rPr>
          <w:rFonts w:cs="Times New Roman"/>
        </w:rPr>
        <w:t xml:space="preserve"> (eds), </w:t>
      </w:r>
      <w:r w:rsidRPr="00424050">
        <w:rPr>
          <w:rFonts w:cs="Times New Roman"/>
          <w:i/>
          <w:iCs/>
        </w:rPr>
        <w:t>«Conuentus classicorum»: temas y formas del mundo clásico</w:t>
      </w:r>
      <w:r w:rsidRPr="00424050">
        <w:rPr>
          <w:rFonts w:cs="Times New Roman"/>
        </w:rPr>
        <w:t>, vol. 1, pp. 223-236.</w:t>
      </w:r>
    </w:p>
  </w:footnote>
  <w:footnote w:id="57">
    <w:p w14:paraId="558C702D" w14:textId="1BF163C2" w:rsidR="00650A2A" w:rsidRPr="00424050" w:rsidRDefault="00650A2A"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Pr="00424050">
        <w:rPr>
          <w:rFonts w:cs="Times New Roman"/>
        </w:rPr>
        <w:t> I³ 82 del 421/420 (ll. 23-24: δο</w:t>
      </w:r>
      <w:r w:rsidRPr="00424050">
        <w:rPr>
          <w:rFonts w:ascii="Times New Roman" w:hAnsi="Times New Roman" w:cs="Times New Roman"/>
        </w:rPr>
        <w:t>̑</w:t>
      </w:r>
      <w:r w:rsidRPr="00424050">
        <w:rPr>
          <w:rFonts w:cs="Times New Roman"/>
        </w:rPr>
        <w:t>ναι δὲ [κ]αὶ τοῖς μετοίκοις τρε</w:t>
      </w:r>
      <w:r w:rsidRPr="00424050">
        <w:rPr>
          <w:rFonts w:ascii="Times New Roman" w:hAnsi="Times New Roman" w:cs="Times New Roman"/>
        </w:rPr>
        <w:t>̑</w:t>
      </w:r>
      <w:r w:rsidRPr="00424050">
        <w:rPr>
          <w:rFonts w:cs="Times New Roman"/>
        </w:rPr>
        <w:t>[ς] βοῦς, τούτον Τ[......... hοι h]ιεροποιοὶ [νε]μόντον [α]ὐτοῖς ὀμὰ τὰ κρέα).</w:t>
      </w:r>
      <w:r w:rsidR="00663154" w:rsidRPr="00424050">
        <w:rPr>
          <w:rFonts w:cs="Times New Roman"/>
        </w:rPr>
        <w:t xml:space="preserve"> Non nuoce ricordare che tutto il territorio intorno al suo </w:t>
      </w:r>
      <w:r w:rsidR="00663154" w:rsidRPr="00424050">
        <w:rPr>
          <w:rFonts w:cs="Times New Roman"/>
          <w:i/>
          <w:iCs/>
        </w:rPr>
        <w:t>oikos</w:t>
      </w:r>
      <w:r w:rsidR="00663154" w:rsidRPr="00424050">
        <w:rPr>
          <w:rFonts w:cs="Times New Roman"/>
        </w:rPr>
        <w:t xml:space="preserve"> era tutto un fiorir di botteghe di </w:t>
      </w:r>
      <w:r w:rsidR="00663154" w:rsidRPr="00424050">
        <w:rPr>
          <w:rFonts w:cs="Times New Roman"/>
          <w:i/>
          <w:iCs/>
        </w:rPr>
        <w:t>banausoi</w:t>
      </w:r>
      <w:r w:rsidR="00663154" w:rsidRPr="00424050">
        <w:rPr>
          <w:rFonts w:cs="Times New Roman"/>
        </w:rPr>
        <w:t xml:space="preserve"> (C.C. </w:t>
      </w:r>
      <w:r w:rsidR="00663154" w:rsidRPr="00424050">
        <w:rPr>
          <w:rFonts w:cs="Times New Roman"/>
          <w:smallCaps/>
        </w:rPr>
        <w:t>Mattusch</w:t>
      </w:r>
      <w:r w:rsidR="00663154" w:rsidRPr="00424050">
        <w:rPr>
          <w:rFonts w:cs="Times New Roman"/>
        </w:rPr>
        <w:t xml:space="preserve">, </w:t>
      </w:r>
      <w:r w:rsidR="00663154" w:rsidRPr="00424050">
        <w:rPr>
          <w:rFonts w:cs="Times New Roman"/>
          <w:i/>
          <w:iCs/>
        </w:rPr>
        <w:t>Bronze- and Ironworking in the Area of the Athenian Agora</w:t>
      </w:r>
      <w:r w:rsidR="00663154" w:rsidRPr="00424050">
        <w:rPr>
          <w:rFonts w:cs="Times New Roman"/>
        </w:rPr>
        <w:t>, «Hesperia» 46, 1977, pp. 340-379. Allo stesso modo, però, è necessario ammettere, che Efesto non fu mai, in Atene, una divinità onorata dagli artigiani: le loro dediche furono, da sempre, rivolte ad altre divinità connesse con l</w:t>
      </w:r>
      <w:r w:rsidR="003978FF" w:rsidRPr="00424050">
        <w:rPr>
          <w:rFonts w:cs="Times New Roman"/>
        </w:rPr>
        <w:t>’</w:t>
      </w:r>
      <w:r w:rsidR="00663154" w:rsidRPr="00424050">
        <w:rPr>
          <w:rFonts w:cs="Times New Roman"/>
        </w:rPr>
        <w:t>arte e la manualità</w:t>
      </w:r>
    </w:p>
  </w:footnote>
  <w:footnote w:id="58">
    <w:p w14:paraId="3F7D3ED4" w14:textId="21DDEF2C" w:rsidR="00620882" w:rsidRPr="00424050" w:rsidRDefault="005F452C"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6A3C39" w:rsidRPr="00424050">
        <w:rPr>
          <w:rFonts w:cs="Times New Roman"/>
        </w:rPr>
        <w:t xml:space="preserve">La datazione del decreto sembra attestarsi, oggi, al 424/3: per uno </w:t>
      </w:r>
      <w:r w:rsidR="006A3C39" w:rsidRPr="00424050">
        <w:rPr>
          <w:rFonts w:cs="Times New Roman"/>
          <w:i/>
          <w:iCs/>
        </w:rPr>
        <w:t>status quaestionis</w:t>
      </w:r>
      <w:r w:rsidR="006A3C39" w:rsidRPr="00424050">
        <w:rPr>
          <w:rFonts w:cs="Times New Roman"/>
        </w:rPr>
        <w:t xml:space="preserve"> su</w:t>
      </w:r>
      <w:r w:rsidR="002D57C4" w:rsidRPr="00424050">
        <w:rPr>
          <w:rFonts w:cs="Times New Roman"/>
        </w:rPr>
        <w:t>l documento</w:t>
      </w:r>
      <w:r w:rsidR="006A3C39" w:rsidRPr="00424050">
        <w:rPr>
          <w:rFonts w:cs="Times New Roman"/>
        </w:rPr>
        <w:t xml:space="preserve">: </w:t>
      </w:r>
      <w:r w:rsidR="00964A34" w:rsidRPr="00424050">
        <w:rPr>
          <w:rFonts w:cs="Times New Roman"/>
        </w:rPr>
        <w:t xml:space="preserve">G. </w:t>
      </w:r>
      <w:r w:rsidR="006A3C39" w:rsidRPr="00424050">
        <w:rPr>
          <w:rFonts w:cs="Times New Roman"/>
          <w:smallCaps/>
        </w:rPr>
        <w:t>Vallarino</w:t>
      </w:r>
      <w:r w:rsidR="00964A34" w:rsidRPr="00424050">
        <w:rPr>
          <w:rFonts w:cs="Times New Roman"/>
        </w:rPr>
        <w:t xml:space="preserve">, </w:t>
      </w:r>
      <w:r w:rsidR="00964A34" w:rsidRPr="00424050">
        <w:rPr>
          <w:rFonts w:cs="Times New Roman"/>
          <w:i/>
          <w:iCs/>
        </w:rPr>
        <w:t>Decreto ateniese sulla moneta, i pesi e le misure</w:t>
      </w:r>
      <w:r w:rsidR="00964A34" w:rsidRPr="00424050">
        <w:rPr>
          <w:rFonts w:cs="Times New Roman"/>
        </w:rPr>
        <w:t xml:space="preserve">, in </w:t>
      </w:r>
      <w:r w:rsidR="00964A34" w:rsidRPr="00424050">
        <w:rPr>
          <w:rFonts w:cs="Times New Roman"/>
          <w:smallCaps/>
        </w:rPr>
        <w:t xml:space="preserve">C. Antonetti </w:t>
      </w:r>
      <w:r w:rsidR="005703BF" w:rsidRPr="00424050">
        <w:rPr>
          <w:rFonts w:cs="Times New Roman"/>
          <w:smallCaps/>
        </w:rPr>
        <w:t>-</w:t>
      </w:r>
      <w:r w:rsidR="00964A34" w:rsidRPr="00424050">
        <w:rPr>
          <w:rFonts w:cs="Times New Roman"/>
          <w:smallCaps/>
        </w:rPr>
        <w:t xml:space="preserve"> S. De Vido</w:t>
      </w:r>
      <w:r w:rsidR="00964A34" w:rsidRPr="00424050">
        <w:rPr>
          <w:rFonts w:cs="Times New Roman"/>
        </w:rPr>
        <w:t xml:space="preserve"> (curr.), </w:t>
      </w:r>
      <w:r w:rsidR="00964A34" w:rsidRPr="00424050">
        <w:rPr>
          <w:rFonts w:cs="Times New Roman"/>
          <w:i/>
          <w:iCs/>
        </w:rPr>
        <w:t>Iscrizioni greche. Un</w:t>
      </w:r>
      <w:r w:rsidR="003978FF" w:rsidRPr="00424050">
        <w:rPr>
          <w:rFonts w:cs="Times New Roman"/>
          <w:i/>
          <w:iCs/>
        </w:rPr>
        <w:t>’</w:t>
      </w:r>
      <w:r w:rsidR="00964A34" w:rsidRPr="00424050">
        <w:rPr>
          <w:rFonts w:cs="Times New Roman"/>
          <w:i/>
          <w:iCs/>
        </w:rPr>
        <w:t>antologia</w:t>
      </w:r>
      <w:r w:rsidR="00964A34" w:rsidRPr="00E34779">
        <w:t xml:space="preserve">, </w:t>
      </w:r>
      <w:r w:rsidR="00964A34" w:rsidRPr="00424050">
        <w:rPr>
          <w:rFonts w:cs="Times New Roman"/>
        </w:rPr>
        <w:t xml:space="preserve">Roma 2017, nr. 27. </w:t>
      </w:r>
      <w:r w:rsidR="00663154" w:rsidRPr="00424050">
        <w:rPr>
          <w:rFonts w:cs="Times New Roman"/>
        </w:rPr>
        <w:t>I</w:t>
      </w:r>
      <w:r w:rsidR="00ED3B38" w:rsidRPr="00424050">
        <w:rPr>
          <w:rFonts w:cs="Times New Roman"/>
        </w:rPr>
        <w:t>l fondo creatosi con la trasformazione dell</w:t>
      </w:r>
      <w:r w:rsidR="003978FF" w:rsidRPr="00424050">
        <w:rPr>
          <w:rFonts w:cs="Times New Roman"/>
        </w:rPr>
        <w:t>’</w:t>
      </w:r>
      <w:r w:rsidR="00ED3B38" w:rsidRPr="00424050">
        <w:rPr>
          <w:rFonts w:cs="Times New Roman"/>
        </w:rPr>
        <w:t>argento dei collegati</w:t>
      </w:r>
      <w:r w:rsidR="00CA6914" w:rsidRPr="00424050">
        <w:rPr>
          <w:rFonts w:cs="Times New Roman"/>
        </w:rPr>
        <w:t xml:space="preserve"> in monete ateniesi</w:t>
      </w:r>
      <w:r w:rsidR="00ED3B38" w:rsidRPr="00424050">
        <w:rPr>
          <w:rFonts w:cs="Times New Roman"/>
        </w:rPr>
        <w:t xml:space="preserve"> sarebbe stato </w:t>
      </w:r>
      <w:r w:rsidR="006A5563" w:rsidRPr="00424050">
        <w:rPr>
          <w:rFonts w:cs="Times New Roman"/>
        </w:rPr>
        <w:t>conservato nell</w:t>
      </w:r>
      <w:r w:rsidR="003978FF" w:rsidRPr="00424050">
        <w:rPr>
          <w:rFonts w:cs="Times New Roman"/>
        </w:rPr>
        <w:t>’</w:t>
      </w:r>
      <w:r w:rsidR="006A5563" w:rsidRPr="00424050">
        <w:rPr>
          <w:rFonts w:cs="Times New Roman"/>
          <w:i/>
          <w:iCs/>
        </w:rPr>
        <w:t>Hephaisteion</w:t>
      </w:r>
      <w:r w:rsidR="006A5563" w:rsidRPr="00424050">
        <w:rPr>
          <w:rFonts w:cs="Times New Roman"/>
        </w:rPr>
        <w:t xml:space="preserve"> (</w:t>
      </w:r>
      <w:r w:rsidR="007E4183" w:rsidRPr="00424050">
        <w:rPr>
          <w:rFonts w:cs="Times New Roman"/>
        </w:rPr>
        <w:t xml:space="preserve">T. </w:t>
      </w:r>
      <w:r w:rsidR="007E4183" w:rsidRPr="00424050">
        <w:rPr>
          <w:rFonts w:cs="Times New Roman"/>
          <w:smallCaps/>
        </w:rPr>
        <w:t>Figueira</w:t>
      </w:r>
      <w:r w:rsidR="007E4183" w:rsidRPr="00424050">
        <w:rPr>
          <w:rFonts w:cs="Times New Roman"/>
        </w:rPr>
        <w:t xml:space="preserve">, </w:t>
      </w:r>
      <w:r w:rsidR="007E4183" w:rsidRPr="00424050">
        <w:rPr>
          <w:rFonts w:cs="Times New Roman"/>
          <w:i/>
          <w:iCs/>
        </w:rPr>
        <w:t>The Power of Money. Coinage and Politics in the Athenian Empire</w:t>
      </w:r>
      <w:r w:rsidR="007E4183" w:rsidRPr="00424050">
        <w:rPr>
          <w:rFonts w:cs="Times New Roman"/>
        </w:rPr>
        <w:t>, Philadelphia 1998, p. 373</w:t>
      </w:r>
      <w:r w:rsidR="006A5563" w:rsidRPr="00424050">
        <w:rPr>
          <w:rFonts w:cs="Times New Roman"/>
        </w:rPr>
        <w:t>)</w:t>
      </w:r>
      <w:r w:rsidR="007E4183" w:rsidRPr="00424050">
        <w:rPr>
          <w:rFonts w:cs="Times New Roman"/>
        </w:rPr>
        <w:t xml:space="preserve"> o </w:t>
      </w:r>
      <w:r w:rsidR="00ED3B38" w:rsidRPr="00424050">
        <w:rPr>
          <w:rFonts w:cs="Times New Roman"/>
        </w:rPr>
        <w:t>destinato agli epimeleti per la costrizione dell</w:t>
      </w:r>
      <w:r w:rsidR="003978FF" w:rsidRPr="00424050">
        <w:rPr>
          <w:rFonts w:cs="Times New Roman"/>
        </w:rPr>
        <w:t>’</w:t>
      </w:r>
      <w:r w:rsidR="00ED3B38" w:rsidRPr="00424050">
        <w:rPr>
          <w:rFonts w:cs="Times New Roman"/>
          <w:i/>
          <w:iCs/>
        </w:rPr>
        <w:t>Hephaisteion</w:t>
      </w:r>
      <w:r w:rsidR="00ED3B38" w:rsidRPr="00424050">
        <w:rPr>
          <w:rFonts w:cs="Times New Roman"/>
        </w:rPr>
        <w:t xml:space="preserve"> sul Kolonos Agoraios</w:t>
      </w:r>
      <w:r w:rsidR="007E4183" w:rsidRPr="00424050">
        <w:rPr>
          <w:rFonts w:cs="Times New Roman"/>
        </w:rPr>
        <w:t xml:space="preserve"> (</w:t>
      </w:r>
      <w:r w:rsidR="00D0603A" w:rsidRPr="00424050">
        <w:rPr>
          <w:rFonts w:cs="Times New Roman"/>
        </w:rPr>
        <w:t xml:space="preserve">W. </w:t>
      </w:r>
      <w:r w:rsidR="00D0603A" w:rsidRPr="00424050">
        <w:rPr>
          <w:rFonts w:cs="Times New Roman"/>
          <w:smallCaps/>
        </w:rPr>
        <w:t>Dinsmoor</w:t>
      </w:r>
      <w:r w:rsidR="00D0603A" w:rsidRPr="00424050">
        <w:rPr>
          <w:rFonts w:cs="Times New Roman"/>
        </w:rPr>
        <w:t xml:space="preserve">, </w:t>
      </w:r>
      <w:r w:rsidR="00D0603A" w:rsidRPr="00424050">
        <w:rPr>
          <w:rFonts w:cs="Times New Roman"/>
          <w:i/>
          <w:iCs/>
        </w:rPr>
        <w:t>Observations on the Hephaisteion</w:t>
      </w:r>
      <w:r w:rsidR="00D0603A" w:rsidRPr="00424050">
        <w:rPr>
          <w:rFonts w:cs="Times New Roman"/>
        </w:rPr>
        <w:t>, «Hesperia», suppl. 5, 1941</w:t>
      </w:r>
      <w:r w:rsidR="007E4183" w:rsidRPr="00424050">
        <w:rPr>
          <w:rFonts w:cs="Times New Roman"/>
        </w:rPr>
        <w:t xml:space="preserve">, </w:t>
      </w:r>
      <w:r w:rsidR="00D0603A" w:rsidRPr="00424050">
        <w:rPr>
          <w:rFonts w:cs="Times New Roman"/>
        </w:rPr>
        <w:t xml:space="preserve">pp. </w:t>
      </w:r>
      <w:r w:rsidR="007E4183" w:rsidRPr="00424050">
        <w:rPr>
          <w:rFonts w:cs="Times New Roman"/>
        </w:rPr>
        <w:t xml:space="preserve">152-53; </w:t>
      </w:r>
      <w:r w:rsidR="00D0603A" w:rsidRPr="00424050">
        <w:rPr>
          <w:rFonts w:cs="Times New Roman"/>
        </w:rPr>
        <w:t xml:space="preserve">B.D. </w:t>
      </w:r>
      <w:r w:rsidR="00D0603A" w:rsidRPr="00424050">
        <w:rPr>
          <w:rFonts w:cs="Times New Roman"/>
          <w:smallCaps/>
        </w:rPr>
        <w:t>Meritt</w:t>
      </w:r>
      <w:r w:rsidR="00D0603A" w:rsidRPr="00424050">
        <w:rPr>
          <w:rFonts w:cs="Times New Roman"/>
        </w:rPr>
        <w:t xml:space="preserve">, </w:t>
      </w:r>
      <w:r w:rsidR="00D0603A" w:rsidRPr="00424050">
        <w:rPr>
          <w:rFonts w:cs="Times New Roman"/>
          <w:i/>
          <w:iCs/>
        </w:rPr>
        <w:t>The Dating of Documents to the Mid-Fifth Century-I</w:t>
      </w:r>
      <w:r w:rsidR="00D0603A" w:rsidRPr="00424050">
        <w:rPr>
          <w:rFonts w:cs="Times New Roman"/>
        </w:rPr>
        <w:t xml:space="preserve">, «JHS», 82, 1963, pp. </w:t>
      </w:r>
      <w:r w:rsidR="007E4183" w:rsidRPr="00424050">
        <w:rPr>
          <w:rFonts w:cs="Times New Roman"/>
        </w:rPr>
        <w:t>100-</w:t>
      </w:r>
      <w:r w:rsidR="00D0603A" w:rsidRPr="00424050">
        <w:rPr>
          <w:rFonts w:cs="Times New Roman"/>
        </w:rPr>
        <w:t>1</w:t>
      </w:r>
      <w:r w:rsidR="007E4183" w:rsidRPr="00424050">
        <w:rPr>
          <w:rFonts w:cs="Times New Roman"/>
        </w:rPr>
        <w:t xml:space="preserve">17 </w:t>
      </w:r>
      <w:r w:rsidR="00D0603A" w:rsidRPr="00424050">
        <w:rPr>
          <w:rFonts w:cs="Times New Roman"/>
        </w:rPr>
        <w:t xml:space="preserve">(cfr. </w:t>
      </w:r>
      <w:r w:rsidR="00D0603A" w:rsidRPr="00424050">
        <w:rPr>
          <w:rFonts w:cs="Times New Roman"/>
          <w:i/>
          <w:iCs/>
        </w:rPr>
        <w:t>Perikles, the Athenian Mint, and the Hephaisteion</w:t>
      </w:r>
      <w:r w:rsidR="00D0603A" w:rsidRPr="00424050">
        <w:rPr>
          <w:rFonts w:cs="Times New Roman"/>
        </w:rPr>
        <w:t xml:space="preserve">, «PAPhS», 119, 1975, pp. 267-274); </w:t>
      </w:r>
      <w:r w:rsidR="00ED3B38" w:rsidRPr="00424050">
        <w:rPr>
          <w:rFonts w:cs="Times New Roman"/>
          <w:smallCaps/>
        </w:rPr>
        <w:t xml:space="preserve">R. Meiggs </w:t>
      </w:r>
      <w:r w:rsidR="005703BF" w:rsidRPr="00424050">
        <w:rPr>
          <w:rFonts w:cs="Times New Roman"/>
          <w:smallCaps/>
        </w:rPr>
        <w:t>-</w:t>
      </w:r>
      <w:r w:rsidR="00ED3B38" w:rsidRPr="00424050">
        <w:rPr>
          <w:rFonts w:cs="Times New Roman"/>
          <w:smallCaps/>
        </w:rPr>
        <w:t xml:space="preserve"> D.M. Lewis</w:t>
      </w:r>
      <w:r w:rsidR="00ED3B38" w:rsidRPr="00424050">
        <w:rPr>
          <w:rFonts w:cs="Times New Roman"/>
        </w:rPr>
        <w:t xml:space="preserve"> (eds), </w:t>
      </w:r>
      <w:r w:rsidR="00ED3B38" w:rsidRPr="00424050">
        <w:rPr>
          <w:rFonts w:cs="Times New Roman"/>
          <w:i/>
          <w:iCs/>
        </w:rPr>
        <w:t>A Selection of Greek Historical Inscriptions to the End of the Fifth Century B.C.</w:t>
      </w:r>
      <w:r w:rsidR="00ED3B38" w:rsidRPr="00424050">
        <w:rPr>
          <w:rFonts w:cs="Times New Roman"/>
        </w:rPr>
        <w:t>, Oxford 1969, pp. 83-85.</w:t>
      </w:r>
      <w:r w:rsidR="00A33793" w:rsidRPr="00424050">
        <w:rPr>
          <w:rFonts w:cs="Times New Roman"/>
        </w:rPr>
        <w:t xml:space="preserve"> Per uno sguardo d</w:t>
      </w:r>
      <w:r w:rsidR="003978FF" w:rsidRPr="00424050">
        <w:rPr>
          <w:rFonts w:cs="Times New Roman"/>
        </w:rPr>
        <w:t>’</w:t>
      </w:r>
      <w:r w:rsidR="00A33793" w:rsidRPr="00424050">
        <w:rPr>
          <w:rFonts w:cs="Times New Roman"/>
        </w:rPr>
        <w:t xml:space="preserve">insieme: </w:t>
      </w:r>
      <w:r w:rsidR="00D93427" w:rsidRPr="00424050">
        <w:rPr>
          <w:rFonts w:cs="Times New Roman"/>
        </w:rPr>
        <w:t xml:space="preserve">S. </w:t>
      </w:r>
      <w:r w:rsidR="00D93427" w:rsidRPr="00424050">
        <w:rPr>
          <w:rFonts w:cs="Times New Roman"/>
          <w:smallCaps/>
        </w:rPr>
        <w:t>Psoma</w:t>
      </w:r>
      <w:r w:rsidR="00D93427" w:rsidRPr="00424050">
        <w:rPr>
          <w:rFonts w:cs="Times New Roman"/>
        </w:rPr>
        <w:t xml:space="preserve">, </w:t>
      </w:r>
      <w:r w:rsidR="00D93427" w:rsidRPr="00424050">
        <w:rPr>
          <w:rFonts w:cs="Times New Roman"/>
          <w:i/>
          <w:iCs/>
        </w:rPr>
        <w:t>The Law of Nicophon (SEG 26.72) and Athenian Imitations</w:t>
      </w:r>
      <w:r w:rsidR="00D93427" w:rsidRPr="00424050">
        <w:rPr>
          <w:rFonts w:cs="Times New Roman"/>
        </w:rPr>
        <w:t>, «RBN» 157, 2011, pp. 27</w:t>
      </w:r>
      <w:r w:rsidR="007B0A52" w:rsidRPr="00424050">
        <w:rPr>
          <w:rFonts w:cs="Times New Roman"/>
        </w:rPr>
        <w:t>-36</w:t>
      </w:r>
      <w:r w:rsidR="00D93427" w:rsidRPr="00424050">
        <w:rPr>
          <w:rFonts w:cs="Times New Roman"/>
        </w:rPr>
        <w:t xml:space="preserve">; </w:t>
      </w:r>
      <w:r w:rsidR="00D93427" w:rsidRPr="00424050">
        <w:rPr>
          <w:rFonts w:cs="Times New Roman"/>
          <w:smallCaps/>
        </w:rPr>
        <w:t>Ead</w:t>
      </w:r>
      <w:r w:rsidR="00D93427" w:rsidRPr="00424050">
        <w:rPr>
          <w:rFonts w:cs="Times New Roman"/>
        </w:rPr>
        <w:t xml:space="preserve">., </w:t>
      </w:r>
      <w:r w:rsidR="00D93427" w:rsidRPr="00424050">
        <w:rPr>
          <w:rFonts w:cs="Times New Roman"/>
          <w:i/>
          <w:iCs/>
        </w:rPr>
        <w:t>One or Two Laws on Approvers of Silver Coinage Proposed by Nikophon (SEG 26-72)?</w:t>
      </w:r>
      <w:r w:rsidR="00D93427" w:rsidRPr="00424050">
        <w:rPr>
          <w:rFonts w:cs="Times New Roman"/>
        </w:rPr>
        <w:t xml:space="preserve"> </w:t>
      </w:r>
      <w:r w:rsidR="007B0A52" w:rsidRPr="00424050">
        <w:rPr>
          <w:rFonts w:cs="Times New Roman"/>
        </w:rPr>
        <w:t>«</w:t>
      </w:r>
      <w:r w:rsidR="00D93427" w:rsidRPr="00424050">
        <w:rPr>
          <w:rFonts w:cs="Times New Roman"/>
        </w:rPr>
        <w:t>ZPE</w:t>
      </w:r>
      <w:r w:rsidR="007B0A52" w:rsidRPr="00424050">
        <w:rPr>
          <w:rFonts w:cs="Times New Roman"/>
        </w:rPr>
        <w:t>»</w:t>
      </w:r>
      <w:r w:rsidR="00D93427" w:rsidRPr="00424050">
        <w:rPr>
          <w:rFonts w:cs="Times New Roman"/>
        </w:rPr>
        <w:t xml:space="preserve"> 180, 2012, 149</w:t>
      </w:r>
      <w:r w:rsidR="007B0A52" w:rsidRPr="00424050">
        <w:rPr>
          <w:rFonts w:cs="Times New Roman"/>
        </w:rPr>
        <w:t>-152;</w:t>
      </w:r>
      <w:r w:rsidR="00D93427" w:rsidRPr="00424050">
        <w:rPr>
          <w:rFonts w:cs="Times New Roman"/>
        </w:rPr>
        <w:t xml:space="preserve"> </w:t>
      </w:r>
      <w:r w:rsidR="00A33793" w:rsidRPr="00424050">
        <w:rPr>
          <w:rFonts w:cs="Times New Roman"/>
        </w:rPr>
        <w:t xml:space="preserve">S. </w:t>
      </w:r>
      <w:r w:rsidR="00A33793" w:rsidRPr="00424050">
        <w:rPr>
          <w:rFonts w:cs="Times New Roman"/>
          <w:smallCaps/>
        </w:rPr>
        <w:t>Maltese</w:t>
      </w:r>
      <w:r w:rsidR="00A33793" w:rsidRPr="00424050">
        <w:rPr>
          <w:rFonts w:cs="Times New Roman"/>
        </w:rPr>
        <w:t xml:space="preserve">, </w:t>
      </w:r>
      <w:r w:rsidR="00A33793" w:rsidRPr="00424050">
        <w:rPr>
          <w:rFonts w:cs="Times New Roman"/>
          <w:i/>
          <w:iCs/>
        </w:rPr>
        <w:t>Il decreto ateniese sulle misure, i pesi e le monete. un testo di politica finanziaria</w:t>
      </w:r>
      <w:r w:rsidR="00A33793" w:rsidRPr="00424050">
        <w:rPr>
          <w:rFonts w:cs="Times New Roman"/>
        </w:rPr>
        <w:t>, «Aevum» 95, 2021, pp. 3-37</w:t>
      </w:r>
      <w:r w:rsidR="007B0A52" w:rsidRPr="00424050">
        <w:rPr>
          <w:rFonts w:cs="Times New Roman"/>
        </w:rPr>
        <w:t xml:space="preserve"> (con bibliografia aggiornata)</w:t>
      </w:r>
      <w:r w:rsidR="00A33793" w:rsidRPr="00424050">
        <w:rPr>
          <w:rFonts w:cs="Times New Roman"/>
        </w:rPr>
        <w:t>.</w:t>
      </w:r>
    </w:p>
  </w:footnote>
  <w:footnote w:id="59">
    <w:p w14:paraId="5F2CA6E1" w14:textId="6D36DCF8" w:rsidR="00307193" w:rsidRPr="00424050" w:rsidRDefault="00620882" w:rsidP="003B7BC3">
      <w:pPr>
        <w:pStyle w:val="Testonotaapidipagina"/>
        <w:rPr>
          <w:rFonts w:cs="Times New Roman"/>
          <w:i/>
          <w:iCs/>
        </w:rPr>
      </w:pPr>
      <w:r w:rsidRPr="00424050">
        <w:rPr>
          <w:rFonts w:cs="Times New Roman"/>
        </w:rPr>
        <w:t xml:space="preserve"> </w:t>
      </w:r>
      <w:r w:rsidR="00307193" w:rsidRPr="00424050">
        <w:rPr>
          <w:rStyle w:val="Rimandonotaapidipagina"/>
          <w:rFonts w:cs="Times New Roman"/>
        </w:rPr>
        <w:footnoteRef/>
      </w:r>
      <w:r w:rsidR="00307193" w:rsidRPr="00424050">
        <w:rPr>
          <w:rFonts w:cs="Times New Roman"/>
        </w:rPr>
        <w:t xml:space="preserve"> Epicrate potrebbe essere riconosciuto con il personaggio connesso alla legge sugli efebi, ricco appaltatore di miniere del Laurion e menzionato in connessione con le Panatenee nel </w:t>
      </w:r>
      <w:r w:rsidR="00207DB0" w:rsidRPr="00424050">
        <w:rPr>
          <w:rFonts w:cs="Times New Roman"/>
          <w:i/>
          <w:iCs/>
        </w:rPr>
        <w:t>C</w:t>
      </w:r>
      <w:r w:rsidR="00307193" w:rsidRPr="00424050">
        <w:rPr>
          <w:rFonts w:cs="Times New Roman"/>
          <w:i/>
          <w:iCs/>
        </w:rPr>
        <w:t>ontro Timocrate</w:t>
      </w:r>
      <w:r w:rsidR="00307193" w:rsidRPr="00424050">
        <w:rPr>
          <w:rFonts w:cs="Times New Roman"/>
        </w:rPr>
        <w:t xml:space="preserve"> di Demostene (24, 27): </w:t>
      </w:r>
      <w:r w:rsidR="00307193" w:rsidRPr="00424050">
        <w:rPr>
          <w:rFonts w:cs="Times New Roman"/>
          <w:i/>
          <w:iCs/>
        </w:rPr>
        <w:t xml:space="preserve">PA </w:t>
      </w:r>
      <w:r w:rsidR="00307193" w:rsidRPr="00424050">
        <w:rPr>
          <w:rFonts w:cs="Times New Roman"/>
        </w:rPr>
        <w:t xml:space="preserve">4859. Sulla legge: M.B. </w:t>
      </w:r>
      <w:r w:rsidR="00307193" w:rsidRPr="00424050">
        <w:rPr>
          <w:rFonts w:cs="Times New Roman"/>
          <w:smallCaps/>
        </w:rPr>
        <w:t>Richardson</w:t>
      </w:r>
      <w:r w:rsidR="00307193" w:rsidRPr="00424050">
        <w:rPr>
          <w:rFonts w:cs="Times New Roman"/>
        </w:rPr>
        <w:t xml:space="preserve">, </w:t>
      </w:r>
      <w:r w:rsidR="00307193" w:rsidRPr="00424050">
        <w:rPr>
          <w:rFonts w:cs="Times New Roman"/>
          <w:i/>
          <w:iCs/>
        </w:rPr>
        <w:t>The Law of Epicrates of 354/3 B.C.</w:t>
      </w:r>
      <w:r w:rsidR="00307193" w:rsidRPr="00424050">
        <w:rPr>
          <w:rFonts w:cs="Times New Roman"/>
        </w:rPr>
        <w:t>, «Hesperia» 90, 2021, pp. 685</w:t>
      </w:r>
      <w:r w:rsidR="005703BF" w:rsidRPr="00424050">
        <w:rPr>
          <w:rFonts w:cs="Times New Roman"/>
        </w:rPr>
        <w:t>-</w:t>
      </w:r>
      <w:r w:rsidR="00307193" w:rsidRPr="00424050">
        <w:rPr>
          <w:rFonts w:cs="Times New Roman"/>
        </w:rPr>
        <w:t xml:space="preserve">746 (ed. princeps): E.M. </w:t>
      </w:r>
      <w:r w:rsidR="00307193" w:rsidRPr="00424050">
        <w:rPr>
          <w:rFonts w:cs="Times New Roman"/>
          <w:smallCaps/>
        </w:rPr>
        <w:t>Harris</w:t>
      </w:r>
      <w:r w:rsidR="00307193" w:rsidRPr="00424050">
        <w:rPr>
          <w:rFonts w:cs="Times New Roman"/>
        </w:rPr>
        <w:t xml:space="preserve">, </w:t>
      </w:r>
      <w:r w:rsidR="00307193" w:rsidRPr="00424050">
        <w:rPr>
          <w:rFonts w:cs="Times New Roman"/>
          <w:i/>
          <w:iCs/>
        </w:rPr>
        <w:t>Notes on the New Law of Epicrates from the Athenian Agora</w:t>
      </w:r>
      <w:r w:rsidR="00307193" w:rsidRPr="00424050">
        <w:rPr>
          <w:rFonts w:cs="Times New Roman"/>
        </w:rPr>
        <w:t>, «ZPE» 222, 2022, pp. 65-81.</w:t>
      </w:r>
    </w:p>
  </w:footnote>
  <w:footnote w:id="60">
    <w:p w14:paraId="0E8915EE" w14:textId="223C82F7" w:rsidR="00043D9B" w:rsidRPr="00424050" w:rsidRDefault="00043D9B"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Cfr. </w:t>
      </w:r>
      <w:r w:rsidRPr="00424050">
        <w:rPr>
          <w:rFonts w:cs="Times New Roman"/>
          <w:i/>
          <w:iCs/>
        </w:rPr>
        <w:t>IG</w:t>
      </w:r>
      <w:r w:rsidRPr="00424050">
        <w:rPr>
          <w:rFonts w:cs="Times New Roman"/>
        </w:rPr>
        <w:t xml:space="preserve"> I</w:t>
      </w:r>
      <w:r w:rsidRPr="00424050">
        <w:rPr>
          <w:rFonts w:cs="Times New Roman"/>
          <w:vertAlign w:val="superscript"/>
        </w:rPr>
        <w:t>3</w:t>
      </w:r>
      <w:r w:rsidRPr="00424050">
        <w:rPr>
          <w:rFonts w:cs="Times New Roman"/>
        </w:rPr>
        <w:t xml:space="preserve"> 1453C, l</w:t>
      </w:r>
      <w:r w:rsidR="00080643" w:rsidRPr="00424050">
        <w:rPr>
          <w:rFonts w:cs="Times New Roman"/>
        </w:rPr>
        <w:t>l.</w:t>
      </w:r>
      <w:r w:rsidRPr="00424050">
        <w:rPr>
          <w:rFonts w:cs="Times New Roman"/>
        </w:rPr>
        <w:t xml:space="preserve"> 17</w:t>
      </w:r>
      <w:r w:rsidR="005703BF" w:rsidRPr="00424050">
        <w:rPr>
          <w:rFonts w:cs="Times New Roman"/>
        </w:rPr>
        <w:t>-</w:t>
      </w:r>
      <w:r w:rsidRPr="00424050">
        <w:rPr>
          <w:rFonts w:cs="Times New Roman"/>
        </w:rPr>
        <w:t>18</w:t>
      </w:r>
      <w:r w:rsidR="00080643" w:rsidRPr="00424050">
        <w:rPr>
          <w:rFonts w:cs="Times New Roman"/>
        </w:rPr>
        <w:t>.</w:t>
      </w:r>
    </w:p>
  </w:footnote>
  <w:footnote w:id="61">
    <w:p w14:paraId="2F90FF44" w14:textId="232CCDF5" w:rsidR="00E700C8" w:rsidRPr="00424050" w:rsidRDefault="00E700C8"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620882" w:rsidRPr="00424050">
        <w:rPr>
          <w:rFonts w:cs="Times New Roman"/>
        </w:rPr>
        <w:t xml:space="preserve">La massiccia operazione di riconiazione avviata nel 353 doveva far fronte al problema delle contraffazioni delle c.d. civette di Atene, che minavano la fiducia del mondo mercantile verso la valuta </w:t>
      </w:r>
      <w:r w:rsidR="00AD030C" w:rsidRPr="00424050">
        <w:rPr>
          <w:rFonts w:cs="Times New Roman"/>
        </w:rPr>
        <w:t xml:space="preserve">e i mercati ateniesi: </w:t>
      </w:r>
      <w:r w:rsidRPr="00424050">
        <w:rPr>
          <w:rFonts w:cs="Times New Roman"/>
        </w:rPr>
        <w:t xml:space="preserve">J.H. </w:t>
      </w:r>
      <w:r w:rsidRPr="00424050">
        <w:rPr>
          <w:rFonts w:cs="Times New Roman"/>
          <w:smallCaps/>
        </w:rPr>
        <w:t>Kroll</w:t>
      </w:r>
      <w:r w:rsidRPr="00424050">
        <w:rPr>
          <w:rFonts w:cs="Times New Roman"/>
        </w:rPr>
        <w:t xml:space="preserve">, </w:t>
      </w:r>
      <w:r w:rsidRPr="00424050">
        <w:rPr>
          <w:rFonts w:cs="Times New Roman"/>
          <w:i/>
          <w:iCs/>
        </w:rPr>
        <w:t>The Reminting of Athenian Silver Coinage, 353 BC</w:t>
      </w:r>
      <w:r w:rsidRPr="00424050">
        <w:rPr>
          <w:rFonts w:cs="Times New Roman"/>
        </w:rPr>
        <w:t>, «Hesperia» 80, 2011, pp. 229-259</w:t>
      </w:r>
      <w:r w:rsidR="00AD030C" w:rsidRPr="00424050">
        <w:rPr>
          <w:rFonts w:cs="Times New Roman"/>
        </w:rPr>
        <w:t xml:space="preserve">; </w:t>
      </w:r>
      <w:r w:rsidR="00AD030C" w:rsidRPr="00424050">
        <w:rPr>
          <w:rFonts w:cs="Times New Roman"/>
          <w:smallCaps/>
        </w:rPr>
        <w:t>C.J. Ellithorpe</w:t>
      </w:r>
      <w:r w:rsidR="00AD030C" w:rsidRPr="00424050">
        <w:rPr>
          <w:rFonts w:cs="Times New Roman"/>
        </w:rPr>
        <w:t xml:space="preserve">, </w:t>
      </w:r>
      <w:r w:rsidR="00AD030C" w:rsidRPr="00424050">
        <w:rPr>
          <w:rFonts w:cs="Times New Roman"/>
          <w:i/>
          <w:iCs/>
        </w:rPr>
        <w:t>Athenian Mercantilism: a New Approach to the Athenian Coinage Decree and the Law of Nicophon,</w:t>
      </w:r>
      <w:r w:rsidR="00AD030C" w:rsidRPr="00424050">
        <w:rPr>
          <w:rFonts w:cs="Times New Roman"/>
        </w:rPr>
        <w:t xml:space="preserve"> «JAHA» 6, 2019, pp. 59-75.</w:t>
      </w:r>
    </w:p>
  </w:footnote>
  <w:footnote w:id="62">
    <w:p w14:paraId="18AED6E1" w14:textId="0EB67B98" w:rsidR="00997DAC" w:rsidRPr="00424050" w:rsidRDefault="00997DAC"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Sull</w:t>
      </w:r>
      <w:r w:rsidR="003978FF" w:rsidRPr="00424050">
        <w:rPr>
          <w:rFonts w:cs="Times New Roman"/>
        </w:rPr>
        <w:t>’</w:t>
      </w:r>
      <w:r w:rsidRPr="00424050">
        <w:rPr>
          <w:rFonts w:cs="Times New Roman"/>
        </w:rPr>
        <w:t>attenzione di Licurgo agli affari del Laurion, ricordiamo</w:t>
      </w:r>
      <w:r w:rsidR="00266EA2" w:rsidRPr="00424050">
        <w:rPr>
          <w:rFonts w:cs="Times New Roman"/>
        </w:rPr>
        <w:t xml:space="preserve"> </w:t>
      </w:r>
      <w:r w:rsidRPr="00424050">
        <w:rPr>
          <w:rFonts w:cs="Times New Roman"/>
        </w:rPr>
        <w:t>il processo capitale intentato contro un tale Difilo per aver estratto impropriamente metallo prezioso per 160 talenti (</w:t>
      </w:r>
      <w:r w:rsidR="00E34779">
        <w:rPr>
          <w:rFonts w:cs="Times New Roman"/>
        </w:rPr>
        <w:t>[</w:t>
      </w:r>
      <w:r w:rsidRPr="00424050">
        <w:rPr>
          <w:rFonts w:cs="Times New Roman"/>
          <w:smallCaps/>
        </w:rPr>
        <w:t>Plu</w:t>
      </w:r>
      <w:r w:rsidR="00E34779">
        <w:rPr>
          <w:rFonts w:cs="Times New Roman"/>
          <w:smallCaps/>
        </w:rPr>
        <w:t>t</w:t>
      </w:r>
      <w:r w:rsidRPr="00424050">
        <w:rPr>
          <w:rFonts w:cs="Times New Roman"/>
        </w:rPr>
        <w:t>.</w:t>
      </w:r>
      <w:r w:rsidR="00E34779">
        <w:t xml:space="preserve">] </w:t>
      </w:r>
      <w:r w:rsidRPr="00424050">
        <w:rPr>
          <w:rFonts w:cs="Times New Roman"/>
          <w:i/>
          <w:iCs/>
        </w:rPr>
        <w:t>Vit</w:t>
      </w:r>
      <w:r w:rsidR="00E34779">
        <w:rPr>
          <w:rFonts w:cs="Times New Roman"/>
          <w:i/>
          <w:iCs/>
        </w:rPr>
        <w:t>a</w:t>
      </w:r>
      <w:r w:rsidRPr="00424050">
        <w:rPr>
          <w:rFonts w:cs="Times New Roman"/>
          <w:i/>
          <w:iCs/>
        </w:rPr>
        <w:t xml:space="preserve"> X </w:t>
      </w:r>
      <w:r w:rsidR="00207DB0" w:rsidRPr="00424050">
        <w:rPr>
          <w:rFonts w:cs="Times New Roman"/>
          <w:i/>
          <w:iCs/>
        </w:rPr>
        <w:t>o</w:t>
      </w:r>
      <w:r w:rsidRPr="00424050">
        <w:rPr>
          <w:rFonts w:cs="Times New Roman"/>
          <w:i/>
          <w:iCs/>
        </w:rPr>
        <w:t>r</w:t>
      </w:r>
      <w:r w:rsidR="003E46EA" w:rsidRPr="00424050">
        <w:rPr>
          <w:rFonts w:cs="Times New Roman"/>
          <w:i/>
          <w:iCs/>
        </w:rPr>
        <w:t>.</w:t>
      </w:r>
      <w:r w:rsidRPr="00424050">
        <w:rPr>
          <w:rFonts w:cs="Times New Roman"/>
        </w:rPr>
        <w:t xml:space="preserve"> 843d).</w:t>
      </w:r>
    </w:p>
  </w:footnote>
  <w:footnote w:id="63">
    <w:p w14:paraId="39AF5135" w14:textId="097CEC87" w:rsidR="00161B61" w:rsidRPr="00424050" w:rsidRDefault="00161B61"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Forse presente </w:t>
      </w:r>
      <w:r w:rsidR="00FE325C" w:rsidRPr="00424050">
        <w:rPr>
          <w:rFonts w:cs="Times New Roman"/>
        </w:rPr>
        <w:t xml:space="preserve">in </w:t>
      </w:r>
      <w:r w:rsidR="00FE325C" w:rsidRPr="00424050">
        <w:rPr>
          <w:rFonts w:cs="Times New Roman"/>
          <w:i/>
          <w:iCs/>
        </w:rPr>
        <w:t>IG</w:t>
      </w:r>
      <w:r w:rsidR="00FE325C" w:rsidRPr="00424050">
        <w:rPr>
          <w:rFonts w:cs="Times New Roman"/>
        </w:rPr>
        <w:t xml:space="preserve"> I</w:t>
      </w:r>
      <w:r w:rsidR="00FE325C" w:rsidRPr="00424050">
        <w:rPr>
          <w:rFonts w:cs="Times New Roman"/>
          <w:vertAlign w:val="superscript"/>
        </w:rPr>
        <w:t>3</w:t>
      </w:r>
      <w:r w:rsidR="00080643" w:rsidRPr="00424050">
        <w:rPr>
          <w:rFonts w:cs="Times New Roman"/>
        </w:rPr>
        <w:t xml:space="preserve"> </w:t>
      </w:r>
      <w:r w:rsidR="00FE325C" w:rsidRPr="00424050">
        <w:rPr>
          <w:rFonts w:cs="Times New Roman"/>
        </w:rPr>
        <w:t xml:space="preserve">82, l. 15 e in </w:t>
      </w:r>
      <w:r w:rsidR="00FE325C" w:rsidRPr="00424050">
        <w:rPr>
          <w:rFonts w:cs="Times New Roman"/>
          <w:i/>
          <w:iCs/>
        </w:rPr>
        <w:t>IG</w:t>
      </w:r>
      <w:r w:rsidR="00FE325C" w:rsidRPr="00424050">
        <w:rPr>
          <w:rFonts w:cs="Times New Roman"/>
        </w:rPr>
        <w:t xml:space="preserve"> I</w:t>
      </w:r>
      <w:r w:rsidR="00FE325C" w:rsidRPr="00424050">
        <w:rPr>
          <w:rFonts w:cs="Times New Roman"/>
          <w:vertAlign w:val="superscript"/>
        </w:rPr>
        <w:t>3</w:t>
      </w:r>
      <w:r w:rsidR="00FE325C" w:rsidRPr="00424050">
        <w:rPr>
          <w:rFonts w:cs="Times New Roman"/>
        </w:rPr>
        <w:t xml:space="preserve"> 1453 l. 7</w:t>
      </w:r>
      <w:r w:rsidRPr="00424050">
        <w:rPr>
          <w:rFonts w:cs="Times New Roman"/>
        </w:rPr>
        <w:t xml:space="preserve">: </w:t>
      </w:r>
      <w:r w:rsidRPr="00424050">
        <w:rPr>
          <w:rFonts w:cs="Times New Roman"/>
          <w:smallCaps/>
        </w:rPr>
        <w:t>Figueira</w:t>
      </w:r>
      <w:r w:rsidRPr="00424050">
        <w:rPr>
          <w:rFonts w:cs="Times New Roman"/>
        </w:rPr>
        <w:t xml:space="preserve">, </w:t>
      </w:r>
      <w:r w:rsidRPr="00424050">
        <w:rPr>
          <w:rFonts w:cs="Times New Roman"/>
          <w:i/>
          <w:iCs/>
        </w:rPr>
        <w:t>T</w:t>
      </w:r>
      <w:r w:rsidR="00346782" w:rsidRPr="00424050">
        <w:rPr>
          <w:rFonts w:cs="Times New Roman"/>
          <w:i/>
          <w:iCs/>
        </w:rPr>
        <w:t>he Power of Money</w:t>
      </w:r>
      <w:r w:rsidR="00207DB0" w:rsidRPr="00E34779">
        <w:t xml:space="preserve">, </w:t>
      </w:r>
      <w:r w:rsidRPr="00424050">
        <w:rPr>
          <w:rFonts w:cs="Times New Roman"/>
        </w:rPr>
        <w:t>pp. 368-375</w:t>
      </w:r>
      <w:r w:rsidR="00346782" w:rsidRPr="00424050">
        <w:rPr>
          <w:rFonts w:cs="Times New Roman"/>
        </w:rPr>
        <w:t>. Contro l</w:t>
      </w:r>
      <w:r w:rsidR="003978FF" w:rsidRPr="00424050">
        <w:rPr>
          <w:rFonts w:cs="Times New Roman"/>
        </w:rPr>
        <w:t>’</w:t>
      </w:r>
      <w:r w:rsidR="00346782" w:rsidRPr="00424050">
        <w:rPr>
          <w:rFonts w:cs="Times New Roman"/>
        </w:rPr>
        <w:t xml:space="preserve">esistenza del fondo: </w:t>
      </w:r>
      <w:r w:rsidR="005D2807" w:rsidRPr="00424050">
        <w:rPr>
          <w:rFonts w:cs="Times New Roman"/>
        </w:rPr>
        <w:t xml:space="preserve">R.S. </w:t>
      </w:r>
      <w:r w:rsidRPr="00424050">
        <w:rPr>
          <w:rFonts w:cs="Times New Roman"/>
          <w:smallCaps/>
        </w:rPr>
        <w:t>Stroud</w:t>
      </w:r>
      <w:r w:rsidRPr="00424050">
        <w:rPr>
          <w:rFonts w:cs="Times New Roman"/>
        </w:rPr>
        <w:t xml:space="preserve">, </w:t>
      </w:r>
      <w:r w:rsidRPr="00424050">
        <w:rPr>
          <w:rFonts w:cs="Times New Roman"/>
          <w:i/>
          <w:iCs/>
        </w:rPr>
        <w:t>Three Attic Decrees</w:t>
      </w:r>
      <w:r w:rsidRPr="00424050">
        <w:rPr>
          <w:rFonts w:cs="Times New Roman"/>
        </w:rPr>
        <w:t xml:space="preserve">, </w:t>
      </w:r>
      <w:r w:rsidR="005D2807" w:rsidRPr="00424050">
        <w:rPr>
          <w:rFonts w:cs="Times New Roman"/>
        </w:rPr>
        <w:t>«C</w:t>
      </w:r>
      <w:r w:rsidR="00E34779">
        <w:rPr>
          <w:rFonts w:cs="Times New Roman"/>
        </w:rPr>
        <w:t>SCA</w:t>
      </w:r>
      <w:r w:rsidR="005D2807" w:rsidRPr="00424050">
        <w:rPr>
          <w:rFonts w:cs="Times New Roman"/>
        </w:rPr>
        <w:t xml:space="preserve">» 7, 1974, </w:t>
      </w:r>
      <w:r w:rsidRPr="00424050">
        <w:rPr>
          <w:rFonts w:cs="Times New Roman"/>
        </w:rPr>
        <w:t>pp. 280-282</w:t>
      </w:r>
      <w:r w:rsidR="00A6542B" w:rsidRPr="00424050">
        <w:rPr>
          <w:rFonts w:cs="Times New Roman"/>
        </w:rPr>
        <w:t>; s</w:t>
      </w:r>
      <w:r w:rsidRPr="00424050">
        <w:rPr>
          <w:rFonts w:cs="Times New Roman"/>
        </w:rPr>
        <w:t xml:space="preserve">cettico è </w:t>
      </w:r>
      <w:r w:rsidRPr="00424050">
        <w:rPr>
          <w:rFonts w:cs="Times New Roman"/>
          <w:smallCaps/>
        </w:rPr>
        <w:t>W.E. Thompson</w:t>
      </w:r>
      <w:r w:rsidRPr="00424050">
        <w:rPr>
          <w:rFonts w:cs="Times New Roman"/>
        </w:rPr>
        <w:t xml:space="preserve">, </w:t>
      </w:r>
      <w:r w:rsidRPr="00424050">
        <w:rPr>
          <w:rFonts w:cs="Times New Roman"/>
          <w:i/>
          <w:iCs/>
        </w:rPr>
        <w:t>The Protected Fund for Athena and Hephaistos</w:t>
      </w:r>
      <w:r w:rsidRPr="00424050">
        <w:rPr>
          <w:rFonts w:cs="Times New Roman"/>
        </w:rPr>
        <w:t xml:space="preserve">, </w:t>
      </w:r>
      <w:r w:rsidR="00A6542B" w:rsidRPr="00424050">
        <w:rPr>
          <w:rFonts w:cs="Times New Roman"/>
        </w:rPr>
        <w:t>«AJPh»</w:t>
      </w:r>
      <w:r w:rsidRPr="00424050">
        <w:rPr>
          <w:rFonts w:cs="Times New Roman"/>
        </w:rPr>
        <w:t>. 98</w:t>
      </w:r>
      <w:r w:rsidR="00A6542B" w:rsidRPr="00424050">
        <w:rPr>
          <w:rFonts w:cs="Times New Roman"/>
        </w:rPr>
        <w:t>,</w:t>
      </w:r>
      <w:r w:rsidRPr="00424050">
        <w:rPr>
          <w:rFonts w:cs="Times New Roman"/>
        </w:rPr>
        <w:t xml:space="preserve"> 1977, pp. 249-251. Cfr. anche F. </w:t>
      </w:r>
      <w:r w:rsidRPr="00424050">
        <w:rPr>
          <w:rFonts w:cs="Times New Roman"/>
          <w:smallCaps/>
        </w:rPr>
        <w:t>Sokolowski</w:t>
      </w:r>
      <w:r w:rsidRPr="00424050">
        <w:rPr>
          <w:rFonts w:cs="Times New Roman"/>
        </w:rPr>
        <w:t xml:space="preserve">, </w:t>
      </w:r>
      <w:r w:rsidRPr="00424050">
        <w:rPr>
          <w:rFonts w:cs="Times New Roman"/>
          <w:i/>
          <w:iCs/>
        </w:rPr>
        <w:t>Lois sacrées des cités grecques</w:t>
      </w:r>
      <w:r w:rsidRPr="00424050">
        <w:rPr>
          <w:rFonts w:cs="Times New Roman"/>
        </w:rPr>
        <w:t xml:space="preserve">, Paris 1969, nr. 13; V. </w:t>
      </w:r>
      <w:r w:rsidRPr="00424050">
        <w:rPr>
          <w:rFonts w:cs="Times New Roman"/>
          <w:smallCaps/>
        </w:rPr>
        <w:t>Rosivach</w:t>
      </w:r>
      <w:r w:rsidRPr="00424050">
        <w:rPr>
          <w:rFonts w:cs="Times New Roman"/>
        </w:rPr>
        <w:t>, T</w:t>
      </w:r>
      <w:r w:rsidRPr="00424050">
        <w:rPr>
          <w:rFonts w:cs="Times New Roman"/>
          <w:i/>
          <w:iCs/>
        </w:rPr>
        <w:t>he System of Public Sacrifice in Fourth-Century Athens</w:t>
      </w:r>
      <w:r w:rsidRPr="00424050">
        <w:rPr>
          <w:rFonts w:cs="Times New Roman"/>
        </w:rPr>
        <w:t>, Atlanta 1994, p. 154.</w:t>
      </w:r>
    </w:p>
  </w:footnote>
  <w:footnote w:id="64">
    <w:p w14:paraId="15CB2CB5" w14:textId="2EC8F9D1" w:rsidR="00161B61" w:rsidRPr="00424050" w:rsidRDefault="00161B61"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IG</w:t>
      </w:r>
      <w:r w:rsidRPr="00424050">
        <w:rPr>
          <w:rFonts w:cs="Times New Roman"/>
        </w:rPr>
        <w:t xml:space="preserve"> I</w:t>
      </w:r>
      <w:r w:rsidRPr="00424050">
        <w:rPr>
          <w:rFonts w:cs="Times New Roman"/>
          <w:vertAlign w:val="superscript"/>
        </w:rPr>
        <w:t>3</w:t>
      </w:r>
      <w:r w:rsidRPr="00424050">
        <w:rPr>
          <w:rFonts w:cs="Times New Roman"/>
        </w:rPr>
        <w:t xml:space="preserve"> 444, ll. 249-250; 445, ll. 294-295; 464, ll. 103-104; 465, ll. 126-127</w:t>
      </w:r>
      <w:r w:rsidR="00A6542B" w:rsidRPr="00424050">
        <w:rPr>
          <w:rFonts w:cs="Times New Roman"/>
        </w:rPr>
        <w:t>.</w:t>
      </w:r>
    </w:p>
  </w:footnote>
  <w:footnote w:id="65">
    <w:p w14:paraId="2E7ED60D" w14:textId="07F62BA7" w:rsidR="00161B61" w:rsidRPr="00424050" w:rsidRDefault="00161B61"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BE04BB" w:rsidRPr="00424050">
        <w:rPr>
          <w:rFonts w:cs="Times New Roman"/>
        </w:rPr>
        <w:t xml:space="preserve">Per M. Faraguna, questo fondo sarebbe alimentato regolarmente da una </w:t>
      </w:r>
      <w:r w:rsidR="00BE04BB" w:rsidRPr="00424050">
        <w:rPr>
          <w:rFonts w:cs="Times New Roman"/>
          <w:i/>
          <w:iCs/>
        </w:rPr>
        <w:t>aparche</w:t>
      </w:r>
      <w:r w:rsidR="00BE04BB" w:rsidRPr="00424050">
        <w:rPr>
          <w:rFonts w:cs="Times New Roman"/>
        </w:rPr>
        <w:t xml:space="preserve"> sulla produzione di argento del Laurion: M. </w:t>
      </w:r>
      <w:r w:rsidR="00BE04BB" w:rsidRPr="00424050">
        <w:rPr>
          <w:rFonts w:cs="Times New Roman"/>
          <w:smallCaps/>
        </w:rPr>
        <w:t>Faraguna</w:t>
      </w:r>
      <w:r w:rsidR="00BE04BB" w:rsidRPr="00424050">
        <w:rPr>
          <w:rFonts w:cs="Times New Roman"/>
        </w:rPr>
        <w:t xml:space="preserve">, </w:t>
      </w:r>
      <w:r w:rsidR="00BE04BB" w:rsidRPr="00424050">
        <w:rPr>
          <w:rFonts w:cs="Times New Roman"/>
          <w:i/>
          <w:iCs/>
        </w:rPr>
        <w:t>La città di Atene e l</w:t>
      </w:r>
      <w:r w:rsidR="003978FF" w:rsidRPr="00424050">
        <w:rPr>
          <w:rFonts w:cs="Times New Roman"/>
          <w:i/>
          <w:iCs/>
        </w:rPr>
        <w:t>’</w:t>
      </w:r>
      <w:r w:rsidR="00BE04BB" w:rsidRPr="00424050">
        <w:rPr>
          <w:rFonts w:cs="Times New Roman"/>
          <w:i/>
          <w:iCs/>
        </w:rPr>
        <w:t>amministrazione delle miniere del Laurion</w:t>
      </w:r>
      <w:r w:rsidR="00BE04BB" w:rsidRPr="00424050">
        <w:rPr>
          <w:rFonts w:cs="Times New Roman"/>
        </w:rPr>
        <w:t xml:space="preserve">, in </w:t>
      </w:r>
      <w:r w:rsidR="00BE04BB" w:rsidRPr="00424050">
        <w:rPr>
          <w:rFonts w:cs="Times New Roman"/>
          <w:smallCaps/>
        </w:rPr>
        <w:t>H. A. Rupprecht (</w:t>
      </w:r>
      <w:r w:rsidR="00BE04BB" w:rsidRPr="00424050">
        <w:rPr>
          <w:rFonts w:cs="Times New Roman"/>
        </w:rPr>
        <w:t>Hg.</w:t>
      </w:r>
      <w:r w:rsidR="00BE04BB" w:rsidRPr="00424050">
        <w:rPr>
          <w:rFonts w:cs="Times New Roman"/>
          <w:smallCaps/>
        </w:rPr>
        <w:t>)</w:t>
      </w:r>
      <w:r w:rsidR="00BE04BB" w:rsidRPr="00424050">
        <w:rPr>
          <w:rFonts w:cs="Times New Roman"/>
        </w:rPr>
        <w:t xml:space="preserve">, </w:t>
      </w:r>
      <w:r w:rsidR="00BE04BB" w:rsidRPr="00424050">
        <w:rPr>
          <w:rFonts w:cs="Times New Roman"/>
          <w:i/>
          <w:iCs/>
        </w:rPr>
        <w:t>Symposion 2003. Vorträge zur griechischen und hellenistischen Rechtsgeschichte</w:t>
      </w:r>
      <w:r w:rsidR="00BE04BB" w:rsidRPr="00E34779">
        <w:t xml:space="preserve"> (Rauischholzhausen, 30. September</w:t>
      </w:r>
      <w:r w:rsidR="005703BF" w:rsidRPr="00E34779">
        <w:t xml:space="preserve"> - </w:t>
      </w:r>
      <w:r w:rsidR="00BE04BB" w:rsidRPr="00E34779">
        <w:t>3. Oktober 2003), Vienna</w:t>
      </w:r>
      <w:r w:rsidR="00BE04BB" w:rsidRPr="00424050">
        <w:rPr>
          <w:rFonts w:cs="Times New Roman"/>
        </w:rPr>
        <w:t xml:space="preserve"> 2006, p. 155</w:t>
      </w:r>
      <w:r w:rsidRPr="00424050">
        <w:rPr>
          <w:rFonts w:cs="Times New Roman"/>
        </w:rPr>
        <w:t>: «non sarebbe per nulla sorprendente se, come gli Ateniesi riservavano ad Atena la sessantesima parte del tributo (φóρος) degli alleati, così essi dedicassero ad Efesto e Atena Efestia una ἀπαρχὴ sull</w:t>
      </w:r>
      <w:r w:rsidR="003978FF" w:rsidRPr="00424050">
        <w:rPr>
          <w:rFonts w:cs="Times New Roman"/>
        </w:rPr>
        <w:t>’</w:t>
      </w:r>
      <w:r w:rsidRPr="00424050">
        <w:rPr>
          <w:rFonts w:cs="Times New Roman"/>
        </w:rPr>
        <w:t xml:space="preserve">argento del Laurion destinato alla coniazione». Da notare come Efesto, divinità dei metallurgi, sembra difettare di offerte dirette da parte del singolo fedele, ivi compresi gli artigiani, ricevendo – di contro – manifestazioni pubbliche della </w:t>
      </w:r>
      <w:r w:rsidRPr="00424050">
        <w:rPr>
          <w:rFonts w:cs="Times New Roman"/>
          <w:i/>
          <w:iCs/>
        </w:rPr>
        <w:t>pietas</w:t>
      </w:r>
      <w:r w:rsidRPr="00424050">
        <w:rPr>
          <w:rFonts w:cs="Times New Roman"/>
        </w:rPr>
        <w:t xml:space="preserve"> degli ateniesi: A.-C. </w:t>
      </w:r>
      <w:r w:rsidRPr="00424050">
        <w:rPr>
          <w:rFonts w:cs="Times New Roman"/>
          <w:smallCaps/>
        </w:rPr>
        <w:t>Gillis</w:t>
      </w:r>
      <w:r w:rsidRPr="00424050">
        <w:rPr>
          <w:rFonts w:cs="Times New Roman"/>
        </w:rPr>
        <w:t xml:space="preserve">, </w:t>
      </w:r>
      <w:r w:rsidRPr="00424050">
        <w:rPr>
          <w:rFonts w:cs="Times New Roman"/>
          <w:i/>
          <w:iCs/>
        </w:rPr>
        <w:t>Des dieux dans le four. Enquête archéologique sur les pratiques religieuses du monde artisanal en Grèce ancienne</w:t>
      </w:r>
      <w:r w:rsidRPr="00424050">
        <w:rPr>
          <w:rFonts w:cs="Times New Roman"/>
        </w:rPr>
        <w:t xml:space="preserve">, Lille 2021, </w:t>
      </w:r>
      <w:r w:rsidR="00A6542B" w:rsidRPr="00424050">
        <w:rPr>
          <w:rFonts w:cs="Times New Roman"/>
        </w:rPr>
        <w:t xml:space="preserve">pp. </w:t>
      </w:r>
      <w:r w:rsidRPr="00424050">
        <w:rPr>
          <w:rFonts w:cs="Times New Roman"/>
        </w:rPr>
        <w:t>123-124.</w:t>
      </w:r>
    </w:p>
  </w:footnote>
  <w:footnote w:id="66">
    <w:p w14:paraId="3CA654B9" w14:textId="7A03C72A" w:rsidR="003123AE" w:rsidRPr="00424050" w:rsidRDefault="003123AE"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I.</w:t>
      </w:r>
      <w:r w:rsidRPr="00424050">
        <w:rPr>
          <w:rFonts w:cs="Times New Roman"/>
          <w:i/>
          <w:iCs/>
        </w:rPr>
        <w:t>Oropos</w:t>
      </w:r>
      <w:r w:rsidRPr="00424050">
        <w:rPr>
          <w:rFonts w:cs="Times New Roman"/>
        </w:rPr>
        <w:t xml:space="preserve"> 296 = </w:t>
      </w:r>
      <w:r w:rsidRPr="00424050">
        <w:rPr>
          <w:rFonts w:cs="Times New Roman"/>
          <w:i/>
          <w:iCs/>
        </w:rPr>
        <w:t xml:space="preserve">IG </w:t>
      </w:r>
      <w:r w:rsidRPr="00424050">
        <w:rPr>
          <w:rFonts w:cs="Times New Roman"/>
        </w:rPr>
        <w:t>II</w:t>
      </w:r>
      <w:r w:rsidRPr="00424050">
        <w:rPr>
          <w:rFonts w:cs="Times New Roman"/>
          <w:vertAlign w:val="superscript"/>
        </w:rPr>
        <w:t>3</w:t>
      </w:r>
      <w:r w:rsidRPr="00424050">
        <w:rPr>
          <w:rFonts w:cs="Times New Roman"/>
        </w:rPr>
        <w:t xml:space="preserve"> 1, 349 ll. 29-31. </w:t>
      </w:r>
      <w:r w:rsidR="00384BB4" w:rsidRPr="00424050">
        <w:rPr>
          <w:rFonts w:cs="Times New Roman"/>
        </w:rPr>
        <w:t>Alle ll. 14-15 la formula con cui propone la corona è ridotta all</w:t>
      </w:r>
      <w:r w:rsidR="003978FF" w:rsidRPr="00424050">
        <w:rPr>
          <w:rFonts w:cs="Times New Roman"/>
        </w:rPr>
        <w:t>’</w:t>
      </w:r>
      <w:r w:rsidR="00384BB4" w:rsidRPr="00424050">
        <w:rPr>
          <w:rFonts w:cs="Times New Roman"/>
        </w:rPr>
        <w:t>essenziale: ἐφ</w:t>
      </w:r>
      <w:r w:rsidR="003978FF" w:rsidRPr="00424050">
        <w:rPr>
          <w:rFonts w:cs="Times New Roman"/>
        </w:rPr>
        <w:t>’</w:t>
      </w:r>
      <w:r w:rsidR="00384BB4" w:rsidRPr="00424050">
        <w:rPr>
          <w:rFonts w:cs="Times New Roman"/>
        </w:rPr>
        <w:t xml:space="preserve"> ὑγιείαι καὶ σωτηρίαι πάντων τῶν ἐν τῆι χώραι.</w:t>
      </w:r>
      <w:r w:rsidR="004A0DCB" w:rsidRPr="00424050">
        <w:rPr>
          <w:rFonts w:cs="Times New Roman"/>
        </w:rPr>
        <w:t xml:space="preserve"> Nello stesso giorno veniva conferita a Fanodemo una corona d</w:t>
      </w:r>
      <w:r w:rsidR="003978FF" w:rsidRPr="00424050">
        <w:rPr>
          <w:rFonts w:cs="Times New Roman"/>
        </w:rPr>
        <w:t>’</w:t>
      </w:r>
      <w:r w:rsidR="004A0DCB" w:rsidRPr="00424050">
        <w:rPr>
          <w:rFonts w:cs="Times New Roman"/>
        </w:rPr>
        <w:t xml:space="preserve">oro di 1000 dracme </w:t>
      </w:r>
      <w:r w:rsidR="001D09F0" w:rsidRPr="00424050">
        <w:rPr>
          <w:rFonts w:cs="Times New Roman"/>
        </w:rPr>
        <w:t>per la buona riuscita dell</w:t>
      </w:r>
      <w:r w:rsidR="003978FF" w:rsidRPr="00424050">
        <w:rPr>
          <w:rFonts w:cs="Times New Roman"/>
        </w:rPr>
        <w:t>’</w:t>
      </w:r>
      <w:r w:rsidR="001D09F0" w:rsidRPr="00424050">
        <w:rPr>
          <w:rFonts w:cs="Times New Roman"/>
        </w:rPr>
        <w:t xml:space="preserve">organizzazione delle feste penteteriche in onore del dio: </w:t>
      </w:r>
      <w:r w:rsidR="001D09F0" w:rsidRPr="00424050">
        <w:rPr>
          <w:rFonts w:cs="Times New Roman"/>
          <w:i/>
          <w:iCs/>
        </w:rPr>
        <w:t>I.</w:t>
      </w:r>
      <w:r w:rsidR="001D09F0" w:rsidRPr="00424050">
        <w:rPr>
          <w:rFonts w:cs="Times New Roman"/>
        </w:rPr>
        <w:t>Oropos</w:t>
      </w:r>
      <w:r w:rsidR="001D09F0" w:rsidRPr="00424050">
        <w:rPr>
          <w:rFonts w:cs="Times New Roman"/>
          <w:i/>
          <w:iCs/>
        </w:rPr>
        <w:t xml:space="preserve"> </w:t>
      </w:r>
      <w:r w:rsidR="001D09F0" w:rsidRPr="00424050">
        <w:rPr>
          <w:rFonts w:cs="Times New Roman"/>
        </w:rPr>
        <w:t xml:space="preserve">297 = </w:t>
      </w:r>
      <w:r w:rsidR="001D09F0" w:rsidRPr="00424050">
        <w:rPr>
          <w:rFonts w:cs="Times New Roman"/>
          <w:i/>
          <w:iCs/>
        </w:rPr>
        <w:t xml:space="preserve">IG </w:t>
      </w:r>
      <w:r w:rsidR="001D09F0" w:rsidRPr="00424050">
        <w:rPr>
          <w:rFonts w:cs="Times New Roman"/>
        </w:rPr>
        <w:t>II</w:t>
      </w:r>
      <w:r w:rsidR="001D09F0" w:rsidRPr="00424050">
        <w:rPr>
          <w:rFonts w:cs="Times New Roman"/>
          <w:vertAlign w:val="superscript"/>
        </w:rPr>
        <w:t>3</w:t>
      </w:r>
      <w:r w:rsidR="001D09F0" w:rsidRPr="00424050">
        <w:rPr>
          <w:rFonts w:cs="Times New Roman"/>
        </w:rPr>
        <w:t xml:space="preserve"> 1, 348. Sull</w:t>
      </w:r>
      <w:r w:rsidR="003978FF" w:rsidRPr="00424050">
        <w:rPr>
          <w:rFonts w:cs="Times New Roman"/>
        </w:rPr>
        <w:t>’</w:t>
      </w:r>
      <w:r w:rsidR="001D09F0" w:rsidRPr="00424050">
        <w:rPr>
          <w:rFonts w:cs="Times New Roman"/>
        </w:rPr>
        <w:t xml:space="preserve">incoronazione del dio: </w:t>
      </w:r>
      <w:r w:rsidRPr="00424050">
        <w:rPr>
          <w:rFonts w:cs="Times New Roman"/>
        </w:rPr>
        <w:t xml:space="preserve">A. </w:t>
      </w:r>
      <w:r w:rsidRPr="00424050">
        <w:rPr>
          <w:rFonts w:cs="Times New Roman"/>
          <w:smallCaps/>
        </w:rPr>
        <w:t>Scafuro</w:t>
      </w:r>
      <w:r w:rsidRPr="00424050">
        <w:rPr>
          <w:rFonts w:cs="Times New Roman"/>
        </w:rPr>
        <w:t xml:space="preserve">, </w:t>
      </w:r>
      <w:r w:rsidRPr="00424050">
        <w:rPr>
          <w:rFonts w:cs="Times New Roman"/>
          <w:i/>
          <w:iCs/>
        </w:rPr>
        <w:t>The Crowning of Amphiaraos</w:t>
      </w:r>
      <w:r w:rsidRPr="00424050">
        <w:rPr>
          <w:rFonts w:cs="Times New Roman"/>
        </w:rPr>
        <w:t xml:space="preserve">, in L. </w:t>
      </w:r>
      <w:r w:rsidRPr="00424050">
        <w:rPr>
          <w:rFonts w:cs="Times New Roman"/>
          <w:smallCaps/>
        </w:rPr>
        <w:t xml:space="preserve">Mitchell </w:t>
      </w:r>
      <w:r w:rsidR="005703BF" w:rsidRPr="00424050">
        <w:rPr>
          <w:rFonts w:cs="Times New Roman"/>
          <w:smallCaps/>
        </w:rPr>
        <w:t>-</w:t>
      </w:r>
      <w:r w:rsidRPr="00424050">
        <w:rPr>
          <w:rFonts w:cs="Times New Roman"/>
          <w:smallCaps/>
        </w:rPr>
        <w:t xml:space="preserve"> L. Rubinstein</w:t>
      </w:r>
      <w:r w:rsidRPr="00424050">
        <w:rPr>
          <w:rFonts w:cs="Times New Roman"/>
        </w:rPr>
        <w:t>, (eds.)</w:t>
      </w:r>
      <w:r w:rsidR="004A0DCB" w:rsidRPr="00424050">
        <w:rPr>
          <w:rFonts w:cs="Times New Roman"/>
        </w:rPr>
        <w:t>,</w:t>
      </w:r>
      <w:r w:rsidRPr="00424050">
        <w:rPr>
          <w:rFonts w:cs="Times New Roman"/>
        </w:rPr>
        <w:t xml:space="preserve"> </w:t>
      </w:r>
      <w:r w:rsidRPr="00424050">
        <w:rPr>
          <w:rFonts w:cs="Times New Roman"/>
          <w:i/>
          <w:iCs/>
        </w:rPr>
        <w:t>Greek History and Epigraphy. Essays in Honour of P. J. Rhodes</w:t>
      </w:r>
      <w:r w:rsidRPr="00424050">
        <w:rPr>
          <w:rFonts w:cs="Times New Roman"/>
        </w:rPr>
        <w:t>, Swansea 2009, pp. 59-86</w:t>
      </w:r>
      <w:r w:rsidR="004A0DCB" w:rsidRPr="00424050">
        <w:rPr>
          <w:rFonts w:cs="Times New Roman"/>
        </w:rPr>
        <w:t>.</w:t>
      </w:r>
    </w:p>
  </w:footnote>
  <w:footnote w:id="67">
    <w:p w14:paraId="1F7371D3" w14:textId="188A9E02" w:rsidR="004A0DCB" w:rsidRPr="00424050" w:rsidRDefault="004A0DCB"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In generale su Anfiarao a Oropos:</w:t>
      </w:r>
      <w:r w:rsidR="0066529F" w:rsidRPr="00424050">
        <w:t xml:space="preserve"> A. </w:t>
      </w:r>
      <w:r w:rsidR="0066529F" w:rsidRPr="00424050">
        <w:rPr>
          <w:rFonts w:cs="Times New Roman"/>
          <w:smallCaps/>
        </w:rPr>
        <w:t>Wilding</w:t>
      </w:r>
      <w:r w:rsidR="0066529F" w:rsidRPr="00424050">
        <w:rPr>
          <w:rFonts w:cs="Times New Roman"/>
        </w:rPr>
        <w:t xml:space="preserve">,. </w:t>
      </w:r>
      <w:r w:rsidR="0066529F" w:rsidRPr="00424050">
        <w:rPr>
          <w:rFonts w:cs="Times New Roman"/>
          <w:i/>
          <w:iCs/>
        </w:rPr>
        <w:t>Reinventing the Amphiareion at Oropos</w:t>
      </w:r>
      <w:r w:rsidR="0066529F" w:rsidRPr="00424050">
        <w:rPr>
          <w:rFonts w:cs="Times New Roman"/>
        </w:rPr>
        <w:t>. Leiden; Boston 2022, con bibliografia aggiornata.</w:t>
      </w:r>
    </w:p>
  </w:footnote>
  <w:footnote w:id="68">
    <w:p w14:paraId="55B51B5B" w14:textId="56C83FFC" w:rsidR="00E769DB" w:rsidRPr="00424050" w:rsidRDefault="00E769DB"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i/>
          <w:iCs/>
        </w:rPr>
        <w:t>Religion in Hellenistic Athens. </w:t>
      </w:r>
      <w:r w:rsidRPr="00424050">
        <w:rPr>
          <w:rFonts w:cs="Times New Roman"/>
        </w:rPr>
        <w:t>Berkeley 1998, p</w:t>
      </w:r>
      <w:r w:rsidR="00EA673D" w:rsidRPr="00424050">
        <w:rPr>
          <w:rFonts w:cs="Times New Roman"/>
        </w:rPr>
        <w:t>.</w:t>
      </w:r>
      <w:r w:rsidRPr="00424050">
        <w:rPr>
          <w:rFonts w:cs="Times New Roman"/>
        </w:rPr>
        <w:t xml:space="preserve"> </w:t>
      </w:r>
      <w:r w:rsidR="00EA673D" w:rsidRPr="00424050">
        <w:rPr>
          <w:rFonts w:cs="Times New Roman"/>
        </w:rPr>
        <w:t>42.</w:t>
      </w:r>
    </w:p>
  </w:footnote>
  <w:footnote w:id="69">
    <w:p w14:paraId="5DEA7A03" w14:textId="4122CF84" w:rsidR="008C7777" w:rsidRPr="00424050" w:rsidRDefault="008C7777"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G. </w:t>
      </w:r>
      <w:r w:rsidRPr="00424050">
        <w:rPr>
          <w:rFonts w:cs="Times New Roman"/>
          <w:smallCaps/>
        </w:rPr>
        <w:t>Camassa</w:t>
      </w:r>
      <w:r w:rsidRPr="00424050">
        <w:rPr>
          <w:rFonts w:cs="Times New Roman"/>
        </w:rPr>
        <w:t xml:space="preserve">, </w:t>
      </w:r>
      <w:r w:rsidRPr="00424050">
        <w:rPr>
          <w:rFonts w:cs="Times New Roman"/>
          <w:i/>
          <w:iCs/>
        </w:rPr>
        <w:t>Soter</w:t>
      </w:r>
      <w:r w:rsidRPr="00424050">
        <w:rPr>
          <w:rFonts w:cs="Times New Roman"/>
        </w:rPr>
        <w:t xml:space="preserve"> e </w:t>
      </w:r>
      <w:r w:rsidRPr="00424050">
        <w:rPr>
          <w:rFonts w:cs="Times New Roman"/>
          <w:i/>
          <w:iCs/>
        </w:rPr>
        <w:t>soteria dal V secolo alle soglie dell</w:t>
      </w:r>
      <w:r w:rsidR="003978FF" w:rsidRPr="00424050">
        <w:rPr>
          <w:rFonts w:cs="Times New Roman"/>
          <w:i/>
          <w:iCs/>
        </w:rPr>
        <w:t>’</w:t>
      </w:r>
      <w:r w:rsidRPr="00424050">
        <w:rPr>
          <w:rFonts w:cs="Times New Roman"/>
          <w:i/>
          <w:iCs/>
        </w:rPr>
        <w:t>età ellenistica: qualche considerazione</w:t>
      </w:r>
      <w:r w:rsidRPr="00424050">
        <w:rPr>
          <w:rFonts w:cs="Times New Roman"/>
        </w:rPr>
        <w:t>, «Mythos», 14, 2020</w:t>
      </w:r>
      <w:r w:rsidR="00E34779">
        <w:rPr>
          <w:rFonts w:cs="Times New Roman"/>
        </w:rPr>
        <w:t xml:space="preserve"> —</w:t>
      </w:r>
      <w:r w:rsidRPr="00424050">
        <w:rPr>
          <w:rFonts w:cs="Times New Roman"/>
        </w:rPr>
        <w:t xml:space="preserve"> http://journals.openedition.org/mythos/1723</w:t>
      </w:r>
      <w:r w:rsidR="00E34779">
        <w:rPr>
          <w:rFonts w:cs="Times New Roman"/>
        </w:rPr>
        <w:t>.</w:t>
      </w:r>
    </w:p>
  </w:footnote>
  <w:footnote w:id="70">
    <w:p w14:paraId="41C4E0A7" w14:textId="60EC92F2" w:rsidR="00D604FD" w:rsidRPr="00424050" w:rsidRDefault="00D604FD"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S.D. </w:t>
      </w:r>
      <w:r w:rsidRPr="00424050">
        <w:rPr>
          <w:rFonts w:cs="Times New Roman"/>
          <w:smallCaps/>
        </w:rPr>
        <w:t>Lambert</w:t>
      </w:r>
      <w:r w:rsidRPr="00424050">
        <w:rPr>
          <w:rFonts w:cs="Times New Roman"/>
        </w:rPr>
        <w:t xml:space="preserve">, </w:t>
      </w:r>
      <w:r w:rsidRPr="00424050">
        <w:rPr>
          <w:rFonts w:cs="Times New Roman"/>
          <w:i/>
          <w:iCs/>
        </w:rPr>
        <w:t>IG II² 410: An Erasure Reconsidered</w:t>
      </w:r>
      <w:r w:rsidRPr="00424050">
        <w:rPr>
          <w:rFonts w:cs="Times New Roman"/>
        </w:rPr>
        <w:t xml:space="preserve">, in </w:t>
      </w:r>
      <w:r w:rsidRPr="00424050">
        <w:rPr>
          <w:rFonts w:cs="Times New Roman"/>
          <w:smallCaps/>
        </w:rPr>
        <w:t xml:space="preserve">D. Jordan </w:t>
      </w:r>
      <w:r w:rsidR="005703BF" w:rsidRPr="00424050">
        <w:rPr>
          <w:rFonts w:cs="Times New Roman"/>
          <w:smallCaps/>
        </w:rPr>
        <w:t>-</w:t>
      </w:r>
      <w:r w:rsidRPr="00424050">
        <w:rPr>
          <w:rFonts w:cs="Times New Roman"/>
          <w:smallCaps/>
        </w:rPr>
        <w:t xml:space="preserve"> J. Traill</w:t>
      </w:r>
      <w:r w:rsidRPr="00424050">
        <w:rPr>
          <w:rFonts w:cs="Times New Roman"/>
        </w:rPr>
        <w:t xml:space="preserve"> (eds), </w:t>
      </w:r>
      <w:r w:rsidRPr="00424050">
        <w:rPr>
          <w:rFonts w:cs="Times New Roman"/>
          <w:i/>
          <w:iCs/>
        </w:rPr>
        <w:t>Lettered Attica: A Day of Attic Epigraphy. Actes du Symposium d</w:t>
      </w:r>
      <w:r w:rsidR="003978FF" w:rsidRPr="00424050">
        <w:rPr>
          <w:rFonts w:cs="Times New Roman"/>
          <w:i/>
          <w:iCs/>
        </w:rPr>
        <w:t>’</w:t>
      </w:r>
      <w:r w:rsidRPr="00424050">
        <w:rPr>
          <w:rFonts w:cs="Times New Roman"/>
          <w:i/>
          <w:iCs/>
        </w:rPr>
        <w:t>Athènes/Proceedings of the Athens Symposium, 8 mars/March 2000,</w:t>
      </w:r>
      <w:r w:rsidRPr="00424050">
        <w:rPr>
          <w:rFonts w:cs="Times New Roman"/>
        </w:rPr>
        <w:t xml:space="preserve"> Toronto 2003, pp. 56-67; </w:t>
      </w:r>
      <w:r w:rsidRPr="00424050">
        <w:rPr>
          <w:rFonts w:cs="Times New Roman"/>
          <w:smallCaps/>
        </w:rPr>
        <w:t>Veligianni-Terzi</w:t>
      </w:r>
      <w:r w:rsidRPr="00424050">
        <w:rPr>
          <w:rFonts w:cs="Times New Roman"/>
        </w:rPr>
        <w:t xml:space="preserve">, </w:t>
      </w:r>
      <w:r w:rsidRPr="00424050">
        <w:rPr>
          <w:rFonts w:cs="Times New Roman"/>
          <w:i/>
          <w:iCs/>
        </w:rPr>
        <w:t>Wertbegriffe</w:t>
      </w:r>
      <w:r w:rsidR="00F83820" w:rsidRPr="00E34779">
        <w:t xml:space="preserve">, </w:t>
      </w:r>
      <w:r w:rsidRPr="00E34779">
        <w:t>p</w:t>
      </w:r>
      <w:r w:rsidR="00E34779">
        <w:t>p</w:t>
      </w:r>
      <w:r w:rsidRPr="00424050">
        <w:rPr>
          <w:rFonts w:cs="Times New Roman"/>
        </w:rPr>
        <w:t>. 115</w:t>
      </w:r>
      <w:r w:rsidR="00E34779">
        <w:rPr>
          <w:rFonts w:cs="Times New Roman"/>
        </w:rPr>
        <w:t>-116</w:t>
      </w:r>
      <w:r w:rsidRPr="00424050">
        <w:rPr>
          <w:rFonts w:cs="Times New Roman"/>
        </w:rPr>
        <w:t>.</w:t>
      </w:r>
    </w:p>
  </w:footnote>
  <w:footnote w:id="71">
    <w:p w14:paraId="4FC167E9" w14:textId="13BF20DC" w:rsidR="00D97B58" w:rsidRPr="00424050" w:rsidRDefault="00D97B58"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M.H. Jameson</w:t>
      </w:r>
      <w:r w:rsidRPr="00424050">
        <w:rPr>
          <w:rFonts w:cs="Times New Roman"/>
        </w:rPr>
        <w:t>, </w:t>
      </w:r>
      <w:r w:rsidRPr="00424050">
        <w:rPr>
          <w:rFonts w:cs="Times New Roman"/>
          <w:i/>
          <w:iCs/>
        </w:rPr>
        <w:t>Women and Democracy in Fourth-Century Athens</w:t>
      </w:r>
      <w:r w:rsidRPr="00424050">
        <w:rPr>
          <w:rFonts w:cs="Times New Roman"/>
        </w:rPr>
        <w:t xml:space="preserve">, </w:t>
      </w:r>
      <w:r w:rsidR="00C262D7" w:rsidRPr="00424050">
        <w:rPr>
          <w:rFonts w:cs="Times New Roman"/>
        </w:rPr>
        <w:t xml:space="preserve">in </w:t>
      </w:r>
      <w:r w:rsidR="00C262D7" w:rsidRPr="00424050">
        <w:rPr>
          <w:rFonts w:cs="Times New Roman"/>
          <w:smallCaps/>
        </w:rPr>
        <w:t>P.</w:t>
      </w:r>
      <w:r w:rsidRPr="00424050">
        <w:rPr>
          <w:rFonts w:cs="Times New Roman"/>
          <w:smallCaps/>
        </w:rPr>
        <w:t xml:space="preserve"> Brulé </w:t>
      </w:r>
      <w:r w:rsidR="005703BF" w:rsidRPr="00424050">
        <w:rPr>
          <w:rFonts w:cs="Times New Roman"/>
          <w:smallCaps/>
        </w:rPr>
        <w:t>-</w:t>
      </w:r>
      <w:r w:rsidRPr="00424050">
        <w:rPr>
          <w:rFonts w:cs="Times New Roman"/>
          <w:smallCaps/>
        </w:rPr>
        <w:t xml:space="preserve"> J. Oulhe</w:t>
      </w:r>
      <w:r w:rsidRPr="00424050">
        <w:rPr>
          <w:rFonts w:cs="Times New Roman"/>
        </w:rPr>
        <w:t>n (eds),</w:t>
      </w:r>
      <w:r w:rsidRPr="00424050">
        <w:rPr>
          <w:rFonts w:cs="Times New Roman"/>
          <w:i/>
          <w:iCs/>
        </w:rPr>
        <w:t xml:space="preserve"> Esclavage, Guerre, économie En Grèce Ancienne</w:t>
      </w:r>
      <w:r w:rsidRPr="00424050">
        <w:rPr>
          <w:rFonts w:cs="Times New Roman"/>
        </w:rPr>
        <w:t>, Rennes, 1997, https://doi.org/10.4000/books.pur.20971.</w:t>
      </w:r>
    </w:p>
  </w:footnote>
  <w:footnote w:id="72">
    <w:p w14:paraId="2B0E4BEB" w14:textId="75C62560" w:rsidR="00520B42" w:rsidRPr="00424050" w:rsidRDefault="00520B42"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eastAsia="DGMetaSerifScience-Italic" w:cs="Times New Roman"/>
          <w:i/>
          <w:iCs/>
        </w:rPr>
        <w:t xml:space="preserve">IG </w:t>
      </w:r>
      <w:r w:rsidRPr="00424050">
        <w:rPr>
          <w:rFonts w:eastAsia="DGMetaSerifScience-Italic" w:cs="Times New Roman"/>
        </w:rPr>
        <w:t>I</w:t>
      </w:r>
      <w:r w:rsidRPr="00424050">
        <w:rPr>
          <w:rFonts w:eastAsia="DGMetaSerifScience-Italic" w:cs="Times New Roman"/>
          <w:vertAlign w:val="superscript"/>
        </w:rPr>
        <w:t>3</w:t>
      </w:r>
      <w:r w:rsidRPr="00424050">
        <w:rPr>
          <w:rFonts w:eastAsia="DGMetaSerifScience-Italic" w:cs="Times New Roman"/>
        </w:rPr>
        <w:t xml:space="preserve"> 178 </w:t>
      </w:r>
      <w:r w:rsidRPr="00424050">
        <w:rPr>
          <w:rFonts w:cs="Times New Roman"/>
        </w:rPr>
        <w:t>dell</w:t>
      </w:r>
      <w:r w:rsidR="003978FF" w:rsidRPr="00424050">
        <w:rPr>
          <w:rFonts w:cs="Times New Roman"/>
        </w:rPr>
        <w:t>’</w:t>
      </w:r>
      <w:r w:rsidRPr="00424050">
        <w:rPr>
          <w:rFonts w:cs="Times New Roman"/>
        </w:rPr>
        <w:t>ultimo quarto del V secolo mostra forse un primo debole segnale di una tensione verso il riconoscimento dello stato dell</w:t>
      </w:r>
      <w:r w:rsidR="003978FF" w:rsidRPr="00424050">
        <w:rPr>
          <w:rFonts w:cs="Times New Roman"/>
        </w:rPr>
        <w:t>’</w:t>
      </w:r>
      <w:r w:rsidRPr="00424050">
        <w:rPr>
          <w:rFonts w:cs="Times New Roman"/>
        </w:rPr>
        <w:t>esistenza del mondo femminile: si tratta di un decreto per onorare un prosseno e sua moglie, forse un lacedemone.</w:t>
      </w:r>
    </w:p>
  </w:footnote>
  <w:footnote w:id="73">
    <w:p w14:paraId="5E834425" w14:textId="2D78CFF7" w:rsidR="00520B42" w:rsidRPr="00424050" w:rsidRDefault="00520B42"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eastAsia="DGMetaSerifScience-Italic" w:cs="Times New Roman"/>
        </w:rPr>
        <w:t xml:space="preserve">Qui compare anche la formula </w:t>
      </w:r>
      <w:r w:rsidRPr="00424050">
        <w:rPr>
          <w:rFonts w:cs="Times New Roman"/>
        </w:rPr>
        <w:t xml:space="preserve">εὐσεβείας καὶ φιλοτιμίας ἕνεκα τῆς περὶ τοὺς θεούς </w:t>
      </w:r>
      <w:r w:rsidR="005703BF" w:rsidRPr="00424050">
        <w:rPr>
          <w:rFonts w:cs="Times New Roman"/>
        </w:rPr>
        <w:t>(</w:t>
      </w:r>
      <w:r w:rsidRPr="00424050">
        <w:rPr>
          <w:rFonts w:cs="Times New Roman"/>
        </w:rPr>
        <w:t>ll. 27</w:t>
      </w:r>
      <w:r w:rsidR="005703BF" w:rsidRPr="00424050">
        <w:rPr>
          <w:rFonts w:cs="Times New Roman"/>
        </w:rPr>
        <w:t>-</w:t>
      </w:r>
      <w:r w:rsidRPr="00424050">
        <w:rPr>
          <w:rFonts w:cs="Times New Roman"/>
        </w:rPr>
        <w:t>28</w:t>
      </w:r>
      <w:r w:rsidR="005703BF" w:rsidRPr="00424050">
        <w:rPr>
          <w:rFonts w:cs="Times New Roman"/>
        </w:rPr>
        <w:t>),</w:t>
      </w:r>
      <w:r w:rsidRPr="00424050">
        <w:rPr>
          <w:rFonts w:cs="Times New Roman"/>
        </w:rPr>
        <w:t xml:space="preserve"> che lega i</w:t>
      </w:r>
      <w:r w:rsidR="00B111F1" w:rsidRPr="00424050">
        <w:rPr>
          <w:rFonts w:cs="Times New Roman"/>
        </w:rPr>
        <w:t>l</w:t>
      </w:r>
      <w:r w:rsidRPr="00424050">
        <w:rPr>
          <w:rFonts w:cs="Times New Roman"/>
        </w:rPr>
        <w:t xml:space="preserve"> contesto ideologico all</w:t>
      </w:r>
      <w:r w:rsidR="003978FF" w:rsidRPr="00424050">
        <w:rPr>
          <w:rFonts w:cs="Times New Roman"/>
        </w:rPr>
        <w:t>’</w:t>
      </w:r>
      <w:r w:rsidRPr="00424050">
        <w:rPr>
          <w:rFonts w:cs="Times New Roman"/>
        </w:rPr>
        <w:t>ambiente tipico dell</w:t>
      </w:r>
      <w:r w:rsidR="003978FF" w:rsidRPr="00424050">
        <w:rPr>
          <w:rFonts w:cs="Times New Roman"/>
        </w:rPr>
        <w:t>’</w:t>
      </w:r>
      <w:r w:rsidRPr="00424050">
        <w:rPr>
          <w:rFonts w:cs="Times New Roman"/>
        </w:rPr>
        <w:t xml:space="preserve">era licurghea, dove si ricevevano corone per aver ben svolto il proprio dovere. Cfr. P. </w:t>
      </w:r>
      <w:r w:rsidRPr="00424050">
        <w:rPr>
          <w:rFonts w:cs="Times New Roman"/>
          <w:smallCaps/>
        </w:rPr>
        <w:t xml:space="preserve">Siekierka </w:t>
      </w:r>
      <w:r w:rsidR="005703BF" w:rsidRPr="00424050">
        <w:rPr>
          <w:rFonts w:cs="Times New Roman"/>
          <w:smallCaps/>
        </w:rPr>
        <w:t>-</w:t>
      </w:r>
      <w:r w:rsidRPr="00424050">
        <w:rPr>
          <w:rFonts w:cs="Times New Roman"/>
          <w:smallCaps/>
        </w:rPr>
        <w:t xml:space="preserve"> K. Stebnicka </w:t>
      </w:r>
      <w:r w:rsidR="005703BF" w:rsidRPr="00424050">
        <w:rPr>
          <w:rFonts w:cs="Times New Roman"/>
          <w:smallCaps/>
        </w:rPr>
        <w:t>-</w:t>
      </w:r>
      <w:r w:rsidRPr="00424050">
        <w:rPr>
          <w:rFonts w:cs="Times New Roman"/>
          <w:smallCaps/>
        </w:rPr>
        <w:t xml:space="preserve"> A. Wolicki</w:t>
      </w:r>
      <w:r w:rsidR="00B111F1" w:rsidRPr="00424050">
        <w:rPr>
          <w:rFonts w:cs="Times New Roman"/>
          <w:smallCaps/>
        </w:rPr>
        <w:t xml:space="preserve"> (</w:t>
      </w:r>
      <w:r w:rsidR="00B111F1" w:rsidRPr="00424050">
        <w:rPr>
          <w:rFonts w:cs="Times New Roman"/>
        </w:rPr>
        <w:t>eds</w:t>
      </w:r>
      <w:r w:rsidR="00B111F1" w:rsidRPr="00424050">
        <w:rPr>
          <w:rFonts w:cs="Times New Roman"/>
          <w:smallCaps/>
        </w:rPr>
        <w:t>.)</w:t>
      </w:r>
      <w:r w:rsidRPr="00424050">
        <w:rPr>
          <w:rFonts w:cs="Times New Roman"/>
        </w:rPr>
        <w:t xml:space="preserve">, </w:t>
      </w:r>
      <w:r w:rsidRPr="00424050">
        <w:rPr>
          <w:rFonts w:cs="Times New Roman"/>
          <w:bCs/>
          <w:i/>
          <w:iCs/>
        </w:rPr>
        <w:t xml:space="preserve">Women and the Polis, </w:t>
      </w:r>
      <w:r w:rsidRPr="00424050">
        <w:rPr>
          <w:rFonts w:cs="Times New Roman"/>
          <w:i/>
          <w:iCs/>
        </w:rPr>
        <w:t>Public Honorific Inscriptions for Women in the Greek Cities from the Late Classical to the Roman Period</w:t>
      </w:r>
      <w:r w:rsidRPr="00424050">
        <w:rPr>
          <w:rFonts w:cs="Times New Roman"/>
        </w:rPr>
        <w:t xml:space="preserve">, </w:t>
      </w:r>
      <w:r w:rsidR="00B111F1" w:rsidRPr="00424050">
        <w:rPr>
          <w:rFonts w:cs="Times New Roman"/>
        </w:rPr>
        <w:t xml:space="preserve">Berlin/Boston </w:t>
      </w:r>
      <w:r w:rsidRPr="00424050">
        <w:rPr>
          <w:rFonts w:cs="Times New Roman"/>
        </w:rPr>
        <w:t>2021, p. 149.</w:t>
      </w:r>
    </w:p>
  </w:footnote>
  <w:footnote w:id="74">
    <w:p w14:paraId="5C8E503D" w14:textId="007C2526" w:rsidR="00B111F1" w:rsidRPr="00E34779" w:rsidRDefault="00B111F1" w:rsidP="003B7BC3">
      <w:pPr>
        <w:pStyle w:val="Testonotaapidipagina"/>
      </w:pPr>
      <w:r w:rsidRPr="00424050">
        <w:rPr>
          <w:rStyle w:val="Rimandonotaapidipagina"/>
          <w:rFonts w:cs="Times New Roman"/>
        </w:rPr>
        <w:footnoteRef/>
      </w:r>
      <w:r w:rsidRPr="00424050">
        <w:rPr>
          <w:rFonts w:cs="Times New Roman"/>
        </w:rPr>
        <w:t xml:space="preserve"> </w:t>
      </w:r>
      <w:r w:rsidR="00712174" w:rsidRPr="00424050">
        <w:rPr>
          <w:rFonts w:cs="Times New Roman"/>
          <w:i/>
          <w:iCs/>
        </w:rPr>
        <w:t>CEG</w:t>
      </w:r>
      <w:r w:rsidR="00712174" w:rsidRPr="00424050">
        <w:rPr>
          <w:rFonts w:cs="Times New Roman"/>
        </w:rPr>
        <w:t xml:space="preserve"> 599; </w:t>
      </w:r>
      <w:r w:rsidRPr="00424050">
        <w:rPr>
          <w:rFonts w:cs="Times New Roman"/>
          <w:smallCaps/>
        </w:rPr>
        <w:t>Tsagalis</w:t>
      </w:r>
      <w:r w:rsidR="00712174" w:rsidRPr="00424050">
        <w:rPr>
          <w:rFonts w:cs="Times New Roman"/>
        </w:rPr>
        <w:t xml:space="preserve">, </w:t>
      </w:r>
      <w:r w:rsidR="00712174" w:rsidRPr="00424050">
        <w:rPr>
          <w:rFonts w:cs="Times New Roman"/>
          <w:bCs/>
          <w:i/>
          <w:iCs/>
        </w:rPr>
        <w:t>Inscribing Sorrow</w:t>
      </w:r>
      <w:r w:rsidR="00712174" w:rsidRPr="00E34779">
        <w:t>, pp. 74-76; 150.</w:t>
      </w:r>
    </w:p>
  </w:footnote>
  <w:footnote w:id="75">
    <w:p w14:paraId="4B3C3238" w14:textId="3817AA15" w:rsidR="00FD25BF" w:rsidRPr="00424050" w:rsidRDefault="00FD25B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Lyc</w:t>
      </w:r>
      <w:r w:rsidRPr="00424050">
        <w:rPr>
          <w:rFonts w:cs="Times New Roman"/>
        </w:rPr>
        <w:t>.1.2: ἐμὲ μὲν ἄξιον ἐν τῇ τήμερον ἡμέρᾳ τῶν Λεωκράτους ἀδικημάτων κατήγορον ποιῆσαι, ὃ καὶ τῷ δήμῳ καὶ τῇ πόλει συμφέρει, ὑμᾶς δ</w:t>
      </w:r>
      <w:r w:rsidR="003978FF" w:rsidRPr="00424050">
        <w:rPr>
          <w:rFonts w:cs="Times New Roman"/>
        </w:rPr>
        <w:t>’</w:t>
      </w:r>
      <w:r w:rsidRPr="00424050">
        <w:rPr>
          <w:rFonts w:cs="Times New Roman"/>
        </w:rPr>
        <w:t xml:space="preserve"> ὡς ὑπὲρ πατέρων καὶ παίδων καὶ γυναικῶν καὶ πατρίδος καὶ ἱερῶν βουλευομένους</w:t>
      </w:r>
    </w:p>
  </w:footnote>
  <w:footnote w:id="76">
    <w:p w14:paraId="3060AEDF" w14:textId="6A39E892" w:rsidR="0046020C" w:rsidRPr="00424050" w:rsidRDefault="0046020C"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Din</w:t>
      </w:r>
      <w:r w:rsidR="00950843" w:rsidRPr="00424050">
        <w:rPr>
          <w:rFonts w:cs="Times New Roman"/>
        </w:rPr>
        <w:t>.</w:t>
      </w:r>
      <w:r w:rsidRPr="00424050">
        <w:rPr>
          <w:rFonts w:cs="Times New Roman"/>
        </w:rPr>
        <w:t xml:space="preserve">, </w:t>
      </w:r>
      <w:r w:rsidR="00DD56CA" w:rsidRPr="00424050">
        <w:rPr>
          <w:rFonts w:cs="Times New Roman"/>
        </w:rPr>
        <w:t>1.</w:t>
      </w:r>
      <w:r w:rsidRPr="00424050">
        <w:rPr>
          <w:rFonts w:cs="Times New Roman"/>
        </w:rPr>
        <w:t xml:space="preserve">99 </w:t>
      </w:r>
      <w:r w:rsidR="002F7C2E" w:rsidRPr="00424050">
        <w:rPr>
          <w:rFonts w:cs="Times New Roman"/>
        </w:rPr>
        <w:t>(</w:t>
      </w:r>
      <w:r w:rsidR="00DD56CA" w:rsidRPr="00424050">
        <w:rPr>
          <w:rFonts w:cs="Times New Roman"/>
        </w:rPr>
        <w:t>καὶ ὑμεῖς μὲν καὶ ὁ δῆμος ἅπας κινδυνεύῃ περὶ τοῦ ἐδάφους τοῦ τῆς πόλεως καὶ τῶν ἱερῶν τῶν πατρῴων καὶ παίδων καὶ γυναικῶν κτλ.</w:t>
      </w:r>
      <w:r w:rsidR="002F7C2E" w:rsidRPr="00424050">
        <w:rPr>
          <w:rFonts w:cs="Times New Roman"/>
        </w:rPr>
        <w:t>)</w:t>
      </w:r>
      <w:r w:rsidR="00074F4A" w:rsidRPr="00424050">
        <w:rPr>
          <w:rFonts w:cs="Times New Roman"/>
        </w:rPr>
        <w:t xml:space="preserve"> </w:t>
      </w:r>
      <w:r w:rsidRPr="00424050">
        <w:rPr>
          <w:rFonts w:cs="Times New Roman"/>
        </w:rPr>
        <w:t xml:space="preserve">e </w:t>
      </w:r>
      <w:r w:rsidR="002F7C2E" w:rsidRPr="00424050">
        <w:rPr>
          <w:rFonts w:cs="Times New Roman"/>
        </w:rPr>
        <w:t>3.</w:t>
      </w:r>
      <w:r w:rsidRPr="00424050">
        <w:rPr>
          <w:rFonts w:cs="Times New Roman"/>
        </w:rPr>
        <w:t>2</w:t>
      </w:r>
      <w:r w:rsidR="002F7C2E" w:rsidRPr="00424050">
        <w:rPr>
          <w:rFonts w:cs="Times New Roman"/>
        </w:rPr>
        <w:t xml:space="preserve"> (</w:t>
      </w:r>
      <w:r w:rsidR="000A5412" w:rsidRPr="00424050">
        <w:rPr>
          <w:rFonts w:cs="Times New Roman"/>
        </w:rPr>
        <w:t>καὶ δῶρα τολμήσας λαβεῖν κατὰ πάντων ὑμῶν καὶ τῆς χώρας καὶ παίδων καὶ γυναικῶν κτλ.</w:t>
      </w:r>
      <w:r w:rsidR="002F7C2E" w:rsidRPr="00424050">
        <w:rPr>
          <w:rFonts w:cs="Times New Roman"/>
        </w:rPr>
        <w:t>)</w:t>
      </w:r>
      <w:r w:rsidR="000A5412" w:rsidRPr="00424050">
        <w:rPr>
          <w:rFonts w:cs="Times New Roman"/>
        </w:rPr>
        <w:t>.</w:t>
      </w:r>
    </w:p>
  </w:footnote>
  <w:footnote w:id="77">
    <w:p w14:paraId="231C5D14" w14:textId="63D04CD9" w:rsidR="004A4968" w:rsidRPr="00424050" w:rsidRDefault="004A4968"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Sull</w:t>
      </w:r>
      <w:r w:rsidR="003978FF" w:rsidRPr="00424050">
        <w:rPr>
          <w:rFonts w:cs="Times New Roman"/>
        </w:rPr>
        <w:t>’</w:t>
      </w:r>
      <w:r w:rsidRPr="00424050">
        <w:rPr>
          <w:rFonts w:cs="Times New Roman"/>
        </w:rPr>
        <w:t xml:space="preserve">uso della storia </w:t>
      </w:r>
      <w:r w:rsidR="00F7030F" w:rsidRPr="00424050">
        <w:rPr>
          <w:rFonts w:cs="Times New Roman"/>
        </w:rPr>
        <w:t xml:space="preserve">ateniese </w:t>
      </w:r>
      <w:r w:rsidRPr="00424050">
        <w:rPr>
          <w:rFonts w:cs="Times New Roman"/>
        </w:rPr>
        <w:t>da parte di Licurgo</w:t>
      </w:r>
      <w:r w:rsidR="00F7030F" w:rsidRPr="00424050">
        <w:rPr>
          <w:rFonts w:cs="Times New Roman"/>
        </w:rPr>
        <w:t xml:space="preserve"> e Fanodemo</w:t>
      </w:r>
      <w:r w:rsidRPr="00424050">
        <w:rPr>
          <w:rFonts w:cs="Times New Roman"/>
        </w:rPr>
        <w:t>:</w:t>
      </w:r>
      <w:r w:rsidR="00F7030F" w:rsidRPr="00424050">
        <w:rPr>
          <w:rFonts w:cs="Times New Roman"/>
        </w:rPr>
        <w:t xml:space="preserve"> </w:t>
      </w:r>
      <w:r w:rsidR="00F7030F" w:rsidRPr="00424050">
        <w:rPr>
          <w:rFonts w:cs="Times New Roman"/>
          <w:smallCaps/>
        </w:rPr>
        <w:t>Savo</w:t>
      </w:r>
      <w:r w:rsidR="00F7030F" w:rsidRPr="00424050">
        <w:rPr>
          <w:rFonts w:cs="Times New Roman"/>
        </w:rPr>
        <w:t xml:space="preserve">, </w:t>
      </w:r>
      <w:r w:rsidR="00FC6061" w:rsidRPr="00424050">
        <w:rPr>
          <w:rFonts w:cs="Times New Roman"/>
          <w:i/>
          <w:iCs/>
        </w:rPr>
        <w:t>Note fanodemee</w:t>
      </w:r>
      <w:r w:rsidR="00FC6061" w:rsidRPr="00424050">
        <w:rPr>
          <w:rFonts w:cs="Times New Roman"/>
        </w:rPr>
        <w:t xml:space="preserve">, in M.B. Savo (cur.), </w:t>
      </w:r>
      <w:r w:rsidR="00FC6061" w:rsidRPr="00424050">
        <w:rPr>
          <w:rFonts w:cs="Times New Roman"/>
          <w:i/>
          <w:iCs/>
        </w:rPr>
        <w:t>Specula historicorum. Trasmissione e tradizione dei testi storiografici nel mondo greco. Atti del convegno Internazionale</w:t>
      </w:r>
      <w:r w:rsidR="00FC6061" w:rsidRPr="00E34779">
        <w:t xml:space="preserve"> (L</w:t>
      </w:r>
      <w:r w:rsidR="003978FF" w:rsidRPr="00E34779">
        <w:t>’</w:t>
      </w:r>
      <w:r w:rsidR="00FC6061" w:rsidRPr="00E34779">
        <w:t>Aquila, 10-11</w:t>
      </w:r>
      <w:r w:rsidR="00E34779" w:rsidRPr="00E34779">
        <w:t xml:space="preserve"> </w:t>
      </w:r>
      <w:r w:rsidR="00FC6061" w:rsidRPr="00E34779">
        <w:t>novembre</w:t>
      </w:r>
      <w:r w:rsidR="00E34779" w:rsidRPr="00E34779">
        <w:t xml:space="preserve"> </w:t>
      </w:r>
      <w:r w:rsidR="00FC6061" w:rsidRPr="00E34779">
        <w:t>2016), Tivoli</w:t>
      </w:r>
      <w:r w:rsidR="00FC6061" w:rsidRPr="00424050">
        <w:rPr>
          <w:rFonts w:cs="Times New Roman"/>
        </w:rPr>
        <w:t xml:space="preserve"> 2019, pp. 145-181: </w:t>
      </w:r>
      <w:r w:rsidR="00FC6061" w:rsidRPr="00E34779">
        <w:rPr>
          <w:rFonts w:cs="Times New Roman"/>
          <w:smallCaps/>
        </w:rPr>
        <w:t>E</w:t>
      </w:r>
      <w:r w:rsidR="00E34779" w:rsidRPr="00E34779">
        <w:rPr>
          <w:rFonts w:cs="Times New Roman"/>
          <w:smallCaps/>
        </w:rPr>
        <w:t>ad</w:t>
      </w:r>
      <w:r w:rsidR="00FC6061" w:rsidRPr="00E34779">
        <w:rPr>
          <w:rFonts w:cs="Times New Roman"/>
          <w:smallCaps/>
        </w:rPr>
        <w:t>.</w:t>
      </w:r>
      <w:r w:rsidR="00FC6061" w:rsidRPr="00424050">
        <w:rPr>
          <w:rFonts w:cs="Times New Roman"/>
        </w:rPr>
        <w:t xml:space="preserve">, </w:t>
      </w:r>
      <w:r w:rsidR="00F7030F" w:rsidRPr="00424050">
        <w:rPr>
          <w:rFonts w:cs="Times New Roman"/>
          <w:i/>
          <w:iCs/>
        </w:rPr>
        <w:t>Fanodemo, Licurgo e la storia ateniese del V secolo a.C.,</w:t>
      </w:r>
      <w:r w:rsidR="00F7030F" w:rsidRPr="00424050">
        <w:rPr>
          <w:rFonts w:cs="Times New Roman"/>
        </w:rPr>
        <w:t xml:space="preserve"> «RaRe» 18, 2021, pp. 27-52 (con bibliografia precedente).</w:t>
      </w:r>
    </w:p>
  </w:footnote>
  <w:footnote w:id="78">
    <w:p w14:paraId="0ABAD3F4" w14:textId="13126045" w:rsidR="00EA31FB" w:rsidRPr="00424050" w:rsidRDefault="00EA31FB" w:rsidP="003B7BC3">
      <w:pPr>
        <w:pStyle w:val="Testonotaapidipagina"/>
        <w:rPr>
          <w:rFonts w:cs="Times New Roman"/>
        </w:rPr>
      </w:pPr>
      <w:r w:rsidRPr="00424050">
        <w:rPr>
          <w:rStyle w:val="Rimandonotaapidipagina"/>
          <w:rFonts w:cs="Times New Roman"/>
        </w:rPr>
        <w:footnoteRef/>
      </w:r>
      <w:r w:rsidR="00190E1D" w:rsidRPr="00424050">
        <w:rPr>
          <w:rFonts w:cs="Times New Roman"/>
        </w:rPr>
        <w:t xml:space="preserve"> Ιε. διδόναι Νεφελοκοκκυγιεῦσιν ὑγίειαν καὶ σωτηρίαν αὐτοῖσι καὶ Χίοισι - Πε. Χίοισιν ἥσθην πανταχοῦ προσκειμένοις. - Ιε. καὶ ἥρωσιν ὄρνισι καὶ ἡρώων παισί [</w:t>
      </w:r>
      <w:r w:rsidR="00F7030F" w:rsidRPr="00424050">
        <w:rPr>
          <w:rFonts w:cs="Times New Roman"/>
        </w:rPr>
        <w:t>κτλ.</w:t>
      </w:r>
      <w:r w:rsidR="00190E1D" w:rsidRPr="00424050">
        <w:rPr>
          <w:rFonts w:cs="Times New Roman"/>
        </w:rPr>
        <w:t>].</w:t>
      </w:r>
    </w:p>
  </w:footnote>
  <w:footnote w:id="79">
    <w:p w14:paraId="46CCD564" w14:textId="1B6644E6" w:rsidR="007C57F7" w:rsidRPr="00424050" w:rsidRDefault="007C57F7"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E34779" w:rsidRPr="00424050">
        <w:rPr>
          <w:rFonts w:cs="Times New Roman"/>
          <w:smallCaps/>
        </w:rPr>
        <w:t>D</w:t>
      </w:r>
      <w:r w:rsidR="00E34779">
        <w:rPr>
          <w:rFonts w:cs="Times New Roman"/>
          <w:smallCaps/>
        </w:rPr>
        <w:t>emosth.</w:t>
      </w:r>
      <w:r w:rsidR="00E34779" w:rsidRPr="00424050">
        <w:rPr>
          <w:rFonts w:cs="Times New Roman"/>
        </w:rPr>
        <w:t xml:space="preserve"> </w:t>
      </w:r>
      <w:r w:rsidRPr="00424050">
        <w:rPr>
          <w:rFonts w:cs="Times New Roman"/>
        </w:rPr>
        <w:t>19</w:t>
      </w:r>
      <w:r w:rsidR="00E34779">
        <w:rPr>
          <w:rFonts w:cs="Times New Roman"/>
        </w:rPr>
        <w:t xml:space="preserve">, </w:t>
      </w:r>
      <w:r w:rsidRPr="00424050">
        <w:rPr>
          <w:rFonts w:cs="Times New Roman"/>
        </w:rPr>
        <w:t>303</w:t>
      </w:r>
      <w:r w:rsidR="00BB5FC8" w:rsidRPr="00424050">
        <w:rPr>
          <w:rFonts w:cs="Times New Roman"/>
        </w:rPr>
        <w:t>.</w:t>
      </w:r>
    </w:p>
  </w:footnote>
  <w:footnote w:id="80">
    <w:p w14:paraId="3B232BA1" w14:textId="46F12656" w:rsidR="007C57F7" w:rsidRPr="00424050" w:rsidRDefault="007C57F7"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Sul “sistema documentale” creato con intento di propaganda: </w:t>
      </w:r>
      <w:r w:rsidRPr="00424050">
        <w:rPr>
          <w:rFonts w:cs="Times New Roman"/>
          <w:smallCaps/>
        </w:rPr>
        <w:t>Savo</w:t>
      </w:r>
      <w:r w:rsidRPr="00424050">
        <w:rPr>
          <w:rFonts w:cs="Times New Roman"/>
        </w:rPr>
        <w:t xml:space="preserve">, </w:t>
      </w:r>
      <w:r w:rsidRPr="00424050">
        <w:rPr>
          <w:rFonts w:cs="Times New Roman"/>
          <w:i/>
          <w:iCs/>
        </w:rPr>
        <w:t>Fanodemo, Licurgo e la storia ateniese</w:t>
      </w:r>
      <w:r w:rsidR="00F7030F" w:rsidRPr="00424050">
        <w:rPr>
          <w:rFonts w:cs="Times New Roman"/>
        </w:rPr>
        <w:t>.</w:t>
      </w:r>
    </w:p>
  </w:footnote>
  <w:footnote w:id="81">
    <w:p w14:paraId="51B8E66D" w14:textId="627D0308" w:rsidR="007669AF" w:rsidRPr="00424050" w:rsidRDefault="007669AF"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Pr="00424050">
        <w:rPr>
          <w:rFonts w:cs="Times New Roman"/>
          <w:smallCaps/>
        </w:rPr>
        <w:t>Hdt</w:t>
      </w:r>
      <w:r w:rsidRPr="00424050">
        <w:rPr>
          <w:rFonts w:cs="Times New Roman"/>
        </w:rPr>
        <w:t>. 8</w:t>
      </w:r>
      <w:r w:rsidR="00F7030F" w:rsidRPr="00424050">
        <w:rPr>
          <w:rFonts w:cs="Times New Roman"/>
        </w:rPr>
        <w:t>.</w:t>
      </w:r>
      <w:r w:rsidRPr="00424050">
        <w:rPr>
          <w:rFonts w:cs="Times New Roman"/>
        </w:rPr>
        <w:t>41</w:t>
      </w:r>
      <w:r w:rsidR="00F7030F" w:rsidRPr="00424050">
        <w:rPr>
          <w:rFonts w:cs="Times New Roman"/>
        </w:rPr>
        <w:t>.</w:t>
      </w:r>
      <w:r w:rsidRPr="00424050">
        <w:rPr>
          <w:rFonts w:cs="Times New Roman"/>
        </w:rPr>
        <w:t xml:space="preserve">1. Cfr. </w:t>
      </w:r>
      <w:r w:rsidRPr="00424050">
        <w:rPr>
          <w:rFonts w:cs="Times New Roman"/>
          <w:smallCaps/>
        </w:rPr>
        <w:t>Hdt</w:t>
      </w:r>
      <w:r w:rsidRPr="00424050">
        <w:rPr>
          <w:rFonts w:cs="Times New Roman"/>
        </w:rPr>
        <w:t>. 7</w:t>
      </w:r>
      <w:r w:rsidR="00F7030F" w:rsidRPr="00424050">
        <w:rPr>
          <w:rFonts w:cs="Times New Roman"/>
        </w:rPr>
        <w:t>.</w:t>
      </w:r>
      <w:r w:rsidRPr="00424050">
        <w:rPr>
          <w:rFonts w:cs="Times New Roman"/>
        </w:rPr>
        <w:t>144</w:t>
      </w:r>
      <w:r w:rsidR="00F7030F" w:rsidRPr="00424050">
        <w:rPr>
          <w:rFonts w:cs="Times New Roman"/>
        </w:rPr>
        <w:t>.</w:t>
      </w:r>
      <w:r w:rsidRPr="00424050">
        <w:rPr>
          <w:rFonts w:cs="Times New Roman"/>
        </w:rPr>
        <w:t>3.</w:t>
      </w:r>
    </w:p>
  </w:footnote>
  <w:footnote w:id="82">
    <w:p w14:paraId="37B3CEEF" w14:textId="4E218A0D" w:rsidR="00AB7D2D" w:rsidRPr="00424050" w:rsidRDefault="00AB7D2D"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877D4C" w:rsidRPr="00424050">
        <w:rPr>
          <w:rFonts w:cs="Times New Roman"/>
          <w:i/>
          <w:iCs/>
        </w:rPr>
        <w:t xml:space="preserve">SEG </w:t>
      </w:r>
      <w:r w:rsidR="00877D4C" w:rsidRPr="00424050">
        <w:rPr>
          <w:rFonts w:cs="Times New Roman"/>
        </w:rPr>
        <w:t>18</w:t>
      </w:r>
      <w:r w:rsidR="00773F92" w:rsidRPr="00424050">
        <w:rPr>
          <w:rFonts w:cs="Times New Roman"/>
        </w:rPr>
        <w:t>.</w:t>
      </w:r>
      <w:r w:rsidR="00877D4C" w:rsidRPr="00424050">
        <w:rPr>
          <w:rFonts w:cs="Times New Roman"/>
        </w:rPr>
        <w:t xml:space="preserve">153; R. </w:t>
      </w:r>
      <w:r w:rsidR="00877D4C" w:rsidRPr="00424050">
        <w:rPr>
          <w:rFonts w:cs="Times New Roman"/>
          <w:smallCaps/>
        </w:rPr>
        <w:t xml:space="preserve">Meiggs </w:t>
      </w:r>
      <w:r w:rsidR="00920726" w:rsidRPr="00424050">
        <w:rPr>
          <w:rFonts w:cs="Times New Roman"/>
          <w:smallCaps/>
        </w:rPr>
        <w:t>- D.M.</w:t>
      </w:r>
      <w:r w:rsidR="00877D4C" w:rsidRPr="00424050">
        <w:rPr>
          <w:rFonts w:cs="Times New Roman"/>
          <w:smallCaps/>
        </w:rPr>
        <w:t xml:space="preserve"> Lewis</w:t>
      </w:r>
      <w:r w:rsidR="00877D4C" w:rsidRPr="00424050">
        <w:rPr>
          <w:rFonts w:cs="Times New Roman"/>
        </w:rPr>
        <w:t xml:space="preserve"> (eds.) </w:t>
      </w:r>
      <w:r w:rsidR="00877D4C" w:rsidRPr="00424050">
        <w:rPr>
          <w:rFonts w:cs="Times New Roman"/>
          <w:i/>
          <w:iCs/>
        </w:rPr>
        <w:t>A Selection of Greek Historical Inscriptions to the end of the Fifth Century B.C.</w:t>
      </w:r>
      <w:r w:rsidR="00877D4C" w:rsidRPr="00424050">
        <w:rPr>
          <w:rFonts w:cs="Times New Roman"/>
        </w:rPr>
        <w:t xml:space="preserve"> Oxford 1969, n</w:t>
      </w:r>
      <w:r w:rsidR="00901520" w:rsidRPr="00424050">
        <w:rPr>
          <w:rFonts w:cs="Times New Roman"/>
        </w:rPr>
        <w:t>r</w:t>
      </w:r>
      <w:r w:rsidR="00877D4C" w:rsidRPr="00424050">
        <w:rPr>
          <w:rFonts w:cs="Times New Roman"/>
        </w:rPr>
        <w:t>. 123;</w:t>
      </w:r>
      <w:r w:rsidR="00773F92" w:rsidRPr="00424050">
        <w:rPr>
          <w:rFonts w:cs="Times New Roman"/>
        </w:rPr>
        <w:t xml:space="preserve"> F. </w:t>
      </w:r>
      <w:r w:rsidR="00773F92" w:rsidRPr="00424050">
        <w:rPr>
          <w:rFonts w:cs="Times New Roman"/>
          <w:smallCaps/>
        </w:rPr>
        <w:t>Muccioli</w:t>
      </w:r>
      <w:r w:rsidR="00773F92" w:rsidRPr="00424050">
        <w:rPr>
          <w:rFonts w:cs="Times New Roman"/>
        </w:rPr>
        <w:t xml:space="preserve">, </w:t>
      </w:r>
      <w:r w:rsidR="00773F92" w:rsidRPr="00424050">
        <w:rPr>
          <w:rFonts w:cs="Times New Roman"/>
          <w:i/>
          <w:iCs/>
        </w:rPr>
        <w:t>Stratocle di Diomeia e la redazione trezenia del “Decreto di Temistocle”</w:t>
      </w:r>
      <w:r w:rsidR="00773F92" w:rsidRPr="00424050">
        <w:rPr>
          <w:rFonts w:cs="Times New Roman"/>
        </w:rPr>
        <w:t xml:space="preserve">, in </w:t>
      </w:r>
      <w:r w:rsidR="00901520" w:rsidRPr="00424050">
        <w:rPr>
          <w:rFonts w:cs="Times New Roman"/>
        </w:rPr>
        <w:t>«</w:t>
      </w:r>
      <w:r w:rsidR="00773F92" w:rsidRPr="00424050">
        <w:rPr>
          <w:rFonts w:cs="Times New Roman"/>
        </w:rPr>
        <w:t>Studi Ellenistici</w:t>
      </w:r>
      <w:r w:rsidR="00901520" w:rsidRPr="00424050">
        <w:rPr>
          <w:rFonts w:cs="Times New Roman"/>
        </w:rPr>
        <w:t>»</w:t>
      </w:r>
      <w:r w:rsidR="00773F92" w:rsidRPr="00424050">
        <w:rPr>
          <w:rFonts w:cs="Times New Roman"/>
        </w:rPr>
        <w:t>, 20, 2008, pp. 109-136;</w:t>
      </w:r>
      <w:r w:rsidR="00877D4C" w:rsidRPr="00424050">
        <w:rPr>
          <w:rFonts w:cs="Times New Roman"/>
        </w:rPr>
        <w:t xml:space="preserve"> </w:t>
      </w:r>
      <w:r w:rsidRPr="00424050">
        <w:rPr>
          <w:rFonts w:cs="Times New Roman"/>
        </w:rPr>
        <w:t xml:space="preserve">C. </w:t>
      </w:r>
      <w:r w:rsidRPr="00424050">
        <w:rPr>
          <w:rFonts w:cs="Times New Roman"/>
          <w:smallCaps/>
        </w:rPr>
        <w:t>Bearzot</w:t>
      </w:r>
      <w:r w:rsidRPr="00424050">
        <w:rPr>
          <w:rFonts w:cs="Times New Roman"/>
        </w:rPr>
        <w:t xml:space="preserve">, </w:t>
      </w:r>
      <w:r w:rsidRPr="00424050">
        <w:rPr>
          <w:rFonts w:cs="Times New Roman"/>
          <w:i/>
          <w:iCs/>
        </w:rPr>
        <w:t xml:space="preserve">Il </w:t>
      </w:r>
      <w:r w:rsidR="003978FF" w:rsidRPr="00424050">
        <w:rPr>
          <w:rFonts w:cs="Times New Roman"/>
          <w:i/>
          <w:iCs/>
        </w:rPr>
        <w:t>‘</w:t>
      </w:r>
      <w:r w:rsidRPr="00424050">
        <w:rPr>
          <w:rFonts w:cs="Times New Roman"/>
          <w:i/>
          <w:iCs/>
        </w:rPr>
        <w:t>decreto di Temistocle</w:t>
      </w:r>
      <w:r w:rsidR="003978FF" w:rsidRPr="00424050">
        <w:rPr>
          <w:rFonts w:cs="Times New Roman"/>
          <w:i/>
          <w:iCs/>
        </w:rPr>
        <w:t>’</w:t>
      </w:r>
      <w:r w:rsidRPr="00424050">
        <w:rPr>
          <w:rFonts w:cs="Times New Roman"/>
        </w:rPr>
        <w:t xml:space="preserve">, in </w:t>
      </w:r>
      <w:r w:rsidRPr="00424050">
        <w:rPr>
          <w:rFonts w:cs="Times New Roman"/>
          <w:smallCaps/>
        </w:rPr>
        <w:t>C. Antonetti - S. De Vido</w:t>
      </w:r>
      <w:r w:rsidRPr="00424050">
        <w:rPr>
          <w:rFonts w:cs="Times New Roman"/>
        </w:rPr>
        <w:t xml:space="preserve"> (curr.), </w:t>
      </w:r>
      <w:r w:rsidRPr="00424050">
        <w:rPr>
          <w:rFonts w:cs="Times New Roman"/>
          <w:i/>
          <w:iCs/>
        </w:rPr>
        <w:t>Iscrizioni greche. Un</w:t>
      </w:r>
      <w:r w:rsidR="003978FF" w:rsidRPr="00424050">
        <w:rPr>
          <w:rFonts w:cs="Times New Roman"/>
          <w:i/>
          <w:iCs/>
        </w:rPr>
        <w:t>’</w:t>
      </w:r>
      <w:r w:rsidRPr="00424050">
        <w:rPr>
          <w:rFonts w:cs="Times New Roman"/>
          <w:i/>
          <w:iCs/>
        </w:rPr>
        <w:t>antologia</w:t>
      </w:r>
      <w:r w:rsidRPr="00424050">
        <w:rPr>
          <w:rFonts w:cs="Times New Roman"/>
        </w:rPr>
        <w:t>,</w:t>
      </w:r>
      <w:r w:rsidR="00773F92" w:rsidRPr="00424050">
        <w:rPr>
          <w:rFonts w:cs="Times New Roman"/>
        </w:rPr>
        <w:t xml:space="preserve"> </w:t>
      </w:r>
      <w:r w:rsidRPr="00424050">
        <w:rPr>
          <w:rFonts w:cs="Times New Roman"/>
        </w:rPr>
        <w:t>Roma 2017, p. 253</w:t>
      </w:r>
      <w:r w:rsidR="00C11350" w:rsidRPr="00424050">
        <w:rPr>
          <w:rFonts w:cs="Times New Roman"/>
        </w:rPr>
        <w:t>.</w:t>
      </w:r>
    </w:p>
  </w:footnote>
  <w:footnote w:id="83">
    <w:p w14:paraId="5965534D" w14:textId="40BA3380" w:rsidR="00BB5FC8" w:rsidRPr="00424050" w:rsidRDefault="00BB5FC8"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EA00D5" w:rsidRPr="00424050">
        <w:rPr>
          <w:rFonts w:cs="Times New Roman"/>
          <w:i/>
          <w:iCs/>
        </w:rPr>
        <w:t xml:space="preserve">SEG </w:t>
      </w:r>
      <w:r w:rsidR="00EA00D5" w:rsidRPr="00424050">
        <w:rPr>
          <w:rFonts w:cs="Times New Roman"/>
        </w:rPr>
        <w:t>18.153</w:t>
      </w:r>
      <w:r w:rsidRPr="00424050">
        <w:rPr>
          <w:rFonts w:cs="Times New Roman"/>
        </w:rPr>
        <w:t>, ll. 6-8.</w:t>
      </w:r>
    </w:p>
  </w:footnote>
  <w:footnote w:id="84">
    <w:p w14:paraId="51A5B13C" w14:textId="7025A4AB" w:rsidR="00084D80" w:rsidRPr="00424050" w:rsidRDefault="00084D80"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G. </w:t>
      </w:r>
      <w:r w:rsidR="00EB4FAC" w:rsidRPr="00424050">
        <w:rPr>
          <w:rFonts w:cs="Times New Roman"/>
          <w:smallCaps/>
        </w:rPr>
        <w:t>Huxley</w:t>
      </w:r>
      <w:r w:rsidRPr="00424050">
        <w:rPr>
          <w:rFonts w:cs="Times New Roman"/>
        </w:rPr>
        <w:t xml:space="preserve">, </w:t>
      </w:r>
      <w:r w:rsidRPr="00424050">
        <w:rPr>
          <w:rFonts w:cs="Times New Roman"/>
          <w:i/>
          <w:iCs/>
        </w:rPr>
        <w:t xml:space="preserve">On Fragments of Three Historians, II: Kleidemos and the </w:t>
      </w:r>
      <w:r w:rsidR="003978FF" w:rsidRPr="00424050">
        <w:rPr>
          <w:rFonts w:cs="Times New Roman"/>
          <w:i/>
          <w:iCs/>
        </w:rPr>
        <w:t>‘</w:t>
      </w:r>
      <w:r w:rsidRPr="00424050">
        <w:rPr>
          <w:rFonts w:cs="Times New Roman"/>
          <w:i/>
          <w:iCs/>
        </w:rPr>
        <w:t>Themistokles Decree</w:t>
      </w:r>
      <w:r w:rsidR="003978FF" w:rsidRPr="00424050">
        <w:rPr>
          <w:rFonts w:cs="Times New Roman"/>
          <w:i/>
          <w:iCs/>
        </w:rPr>
        <w:t>’</w:t>
      </w:r>
      <w:r w:rsidRPr="00424050">
        <w:rPr>
          <w:rFonts w:cs="Times New Roman"/>
        </w:rPr>
        <w:t xml:space="preserve">, «GRBS» 9, 1968, pp. 313-318; cfr. A. </w:t>
      </w:r>
      <w:r w:rsidRPr="00424050">
        <w:rPr>
          <w:rFonts w:cs="Times New Roman"/>
          <w:smallCaps/>
        </w:rPr>
        <w:t>Chaniotis</w:t>
      </w:r>
      <w:r w:rsidRPr="00424050">
        <w:rPr>
          <w:rFonts w:cs="Times New Roman"/>
        </w:rPr>
        <w:t xml:space="preserve">, </w:t>
      </w:r>
      <w:r w:rsidRPr="00424050">
        <w:rPr>
          <w:rFonts w:cs="Times New Roman"/>
          <w:i/>
          <w:iCs/>
        </w:rPr>
        <w:t>Affective Epigraphy: Emotions in Public Inscriptions of the Hellenistic Age</w:t>
      </w:r>
      <w:r w:rsidRPr="00424050">
        <w:rPr>
          <w:rFonts w:cs="Times New Roman"/>
        </w:rPr>
        <w:t>, «MediterrAnt» 16, 2013, p. 745 nota 1.</w:t>
      </w:r>
      <w:r w:rsidR="0025245A" w:rsidRPr="00424050">
        <w:rPr>
          <w:rFonts w:cs="Times New Roman"/>
        </w:rPr>
        <w:t xml:space="preserve"> Su Clidemo</w:t>
      </w:r>
      <w:r w:rsidR="00C40A32" w:rsidRPr="00424050">
        <w:rPr>
          <w:rFonts w:cs="Times New Roman"/>
        </w:rPr>
        <w:t>:</w:t>
      </w:r>
      <w:r w:rsidR="004B7822" w:rsidRPr="00424050">
        <w:rPr>
          <w:rFonts w:cs="Times New Roman"/>
        </w:rPr>
        <w:t xml:space="preserve"> P.A. </w:t>
      </w:r>
      <w:r w:rsidR="004B7822" w:rsidRPr="00424050">
        <w:rPr>
          <w:rFonts w:cs="Times New Roman"/>
          <w:smallCaps/>
        </w:rPr>
        <w:t>Tuci</w:t>
      </w:r>
      <w:r w:rsidR="004B7822" w:rsidRPr="00424050">
        <w:rPr>
          <w:rFonts w:cs="Times New Roman"/>
        </w:rPr>
        <w:t xml:space="preserve">, </w:t>
      </w:r>
      <w:r w:rsidR="00B710DE" w:rsidRPr="00424050">
        <w:rPr>
          <w:rFonts w:cs="Times New Roman"/>
          <w:i/>
          <w:iCs/>
        </w:rPr>
        <w:t xml:space="preserve">Clidemo </w:t>
      </w:r>
      <w:r w:rsidR="00C40A32" w:rsidRPr="00424050">
        <w:rPr>
          <w:rFonts w:cs="Times New Roman"/>
          <w:i/>
          <w:iCs/>
        </w:rPr>
        <w:t>di Atene. Testimonianze e frammenti</w:t>
      </w:r>
      <w:r w:rsidR="00C40A32" w:rsidRPr="00424050">
        <w:rPr>
          <w:rFonts w:cs="Times New Roman"/>
        </w:rPr>
        <w:t>, Tivoli 202</w:t>
      </w:r>
      <w:r w:rsidR="00E34779">
        <w:rPr>
          <w:rFonts w:cs="Times New Roman"/>
        </w:rPr>
        <w:t>4.</w:t>
      </w:r>
    </w:p>
  </w:footnote>
  <w:footnote w:id="85">
    <w:p w14:paraId="3A33C9A7" w14:textId="317A0891" w:rsidR="001F027A" w:rsidRPr="00424050" w:rsidRDefault="001F027A" w:rsidP="003B7BC3">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E54F66" w:rsidRPr="00424050">
        <w:rPr>
          <w:rFonts w:cs="Times New Roman"/>
          <w:smallCaps/>
        </w:rPr>
        <w:t>Clidem</w:t>
      </w:r>
      <w:r w:rsidR="00363757" w:rsidRPr="00424050">
        <w:rPr>
          <w:rFonts w:cs="Times New Roman"/>
        </w:rPr>
        <w:t>.</w:t>
      </w:r>
      <w:r w:rsidR="00E54F66" w:rsidRPr="00424050">
        <w:rPr>
          <w:rFonts w:cs="Times New Roman"/>
        </w:rPr>
        <w:t xml:space="preserve">, </w:t>
      </w:r>
      <w:r w:rsidR="00E54F66" w:rsidRPr="00424050">
        <w:rPr>
          <w:rFonts w:cs="Times New Roman"/>
          <w:i/>
          <w:iCs/>
        </w:rPr>
        <w:t>FGrHist</w:t>
      </w:r>
      <w:r w:rsidR="00E54F66" w:rsidRPr="00424050">
        <w:rPr>
          <w:rFonts w:cs="Times New Roman"/>
        </w:rPr>
        <w:t xml:space="preserve"> 323 F. 21; P.A. </w:t>
      </w:r>
      <w:r w:rsidR="00E54F66" w:rsidRPr="00424050">
        <w:rPr>
          <w:rFonts w:cs="Times New Roman"/>
          <w:smallCaps/>
        </w:rPr>
        <w:t>Tuci</w:t>
      </w:r>
      <w:r w:rsidR="00E54F66" w:rsidRPr="00424050">
        <w:rPr>
          <w:rFonts w:cs="Times New Roman"/>
        </w:rPr>
        <w:t xml:space="preserve">, </w:t>
      </w:r>
      <w:r w:rsidR="00E54F66" w:rsidRPr="00424050">
        <w:rPr>
          <w:rFonts w:cs="Times New Roman"/>
          <w:i/>
          <w:iCs/>
        </w:rPr>
        <w:t>Temistocle e la manipolazione della volontà popolare: gli oracoli delfici e la scomparsa del serpente sacro</w:t>
      </w:r>
      <w:r w:rsidR="00E54F66" w:rsidRPr="00424050">
        <w:rPr>
          <w:rFonts w:cs="Times New Roman"/>
        </w:rPr>
        <w:t xml:space="preserve">, «Aevum» 80, 2006, pp. 54-59. </w:t>
      </w:r>
      <w:r w:rsidRPr="00424050">
        <w:rPr>
          <w:rFonts w:cs="Times New Roman"/>
        </w:rPr>
        <w:t>Per M. Guarducci (</w:t>
      </w:r>
      <w:r w:rsidRPr="00424050">
        <w:rPr>
          <w:rFonts w:cs="Times New Roman"/>
          <w:i/>
          <w:iCs/>
        </w:rPr>
        <w:t xml:space="preserve">Nuove osservazioni sul </w:t>
      </w:r>
      <w:r w:rsidR="003978FF" w:rsidRPr="00424050">
        <w:rPr>
          <w:rFonts w:cs="Times New Roman"/>
          <w:i/>
          <w:iCs/>
        </w:rPr>
        <w:t>‘</w:t>
      </w:r>
      <w:r w:rsidRPr="00424050">
        <w:rPr>
          <w:rFonts w:cs="Times New Roman"/>
          <w:i/>
          <w:iCs/>
        </w:rPr>
        <w:t>decreto di Temistocle</w:t>
      </w:r>
      <w:r w:rsidR="003978FF" w:rsidRPr="00424050">
        <w:rPr>
          <w:rFonts w:cs="Times New Roman"/>
          <w:i/>
          <w:iCs/>
        </w:rPr>
        <w:t>’</w:t>
      </w:r>
      <w:r w:rsidR="0000191D" w:rsidRPr="00424050">
        <w:rPr>
          <w:rFonts w:cs="Times New Roman"/>
        </w:rPr>
        <w:t xml:space="preserve">, «RFIC» 89, 1961, </w:t>
      </w:r>
      <w:r w:rsidRPr="00424050">
        <w:rPr>
          <w:rFonts w:cs="Times New Roman"/>
        </w:rPr>
        <w:t>p. 59) l</w:t>
      </w:r>
      <w:r w:rsidR="003978FF" w:rsidRPr="00424050">
        <w:rPr>
          <w:rFonts w:cs="Times New Roman"/>
        </w:rPr>
        <w:t>’</w:t>
      </w:r>
      <w:r w:rsidRPr="00424050">
        <w:rPr>
          <w:rFonts w:cs="Times New Roman"/>
        </w:rPr>
        <w:t>operazione di “costruzione” del decreto temistocleo da parte di Clidemo è da porsi tra il 357 e il 355</w:t>
      </w:r>
      <w:r w:rsidR="00E34779">
        <w:rPr>
          <w:rFonts w:cs="Times New Roman"/>
        </w:rPr>
        <w:t>.</w:t>
      </w:r>
      <w:r w:rsidR="0000191D" w:rsidRPr="00424050">
        <w:rPr>
          <w:rFonts w:cs="Times New Roman"/>
        </w:rPr>
        <w:t xml:space="preserve"> </w:t>
      </w:r>
      <w:r w:rsidR="007669AF" w:rsidRPr="00424050">
        <w:rPr>
          <w:rFonts w:cs="Times New Roman"/>
        </w:rPr>
        <w:t xml:space="preserve">Stando </w:t>
      </w:r>
      <w:r w:rsidR="00B710DE" w:rsidRPr="00424050">
        <w:rPr>
          <w:rFonts w:cs="Times New Roman"/>
        </w:rPr>
        <w:t xml:space="preserve">una convincente ipotesi di F.F. Di Bella </w:t>
      </w:r>
      <w:r w:rsidR="00337AA8" w:rsidRPr="00424050">
        <w:rPr>
          <w:rFonts w:cs="Times New Roman"/>
        </w:rPr>
        <w:t>(</w:t>
      </w:r>
      <w:r w:rsidR="00337AA8" w:rsidRPr="00424050">
        <w:rPr>
          <w:rFonts w:eastAsia="TimesNewRomanPSMT" w:cs="Times New Roman"/>
          <w:i/>
        </w:rPr>
        <w:t>Non tutte le donne, ma solo quelle di alto rango. I ritratti del portico dell</w:t>
      </w:r>
      <w:r w:rsidR="003978FF" w:rsidRPr="00424050">
        <w:rPr>
          <w:rFonts w:eastAsia="TimesNewRomanPSMT" w:cs="Times New Roman"/>
          <w:i/>
        </w:rPr>
        <w:t>’</w:t>
      </w:r>
      <w:r w:rsidR="00337AA8" w:rsidRPr="00424050">
        <w:rPr>
          <w:rFonts w:eastAsia="TimesNewRomanPSMT" w:cs="Times New Roman"/>
          <w:i/>
          <w:iCs/>
        </w:rPr>
        <w:t xml:space="preserve">agorà </w:t>
      </w:r>
      <w:r w:rsidR="00337AA8" w:rsidRPr="00424050">
        <w:rPr>
          <w:rFonts w:eastAsia="TimesNewRomanPSMT" w:cs="Times New Roman"/>
          <w:i/>
        </w:rPr>
        <w:t>di Trezene (</w:t>
      </w:r>
      <w:r w:rsidR="00337AA8" w:rsidRPr="00424050">
        <w:rPr>
          <w:rFonts w:eastAsia="TimesNewRomanPSMT" w:cs="Times New Roman"/>
          <w:i/>
          <w:smallCaps/>
        </w:rPr>
        <w:t>Paus</w:t>
      </w:r>
      <w:r w:rsidR="00337AA8" w:rsidRPr="00424050">
        <w:rPr>
          <w:rFonts w:eastAsia="TimesNewRomanPSMT" w:cs="Times New Roman"/>
          <w:i/>
        </w:rPr>
        <w:t>. 2, 31, 7),</w:t>
      </w:r>
      <w:r w:rsidR="00337AA8" w:rsidRPr="00424050">
        <w:rPr>
          <w:rFonts w:eastAsia="TimesNewRomanPSMT" w:cs="Times New Roman"/>
        </w:rPr>
        <w:t xml:space="preserve"> in «Peloro» 3, 2018, pp. 5-35</w:t>
      </w:r>
      <w:r w:rsidR="00337AA8" w:rsidRPr="00424050">
        <w:rPr>
          <w:rFonts w:cs="Times New Roman"/>
        </w:rPr>
        <w:t>),</w:t>
      </w:r>
      <w:r w:rsidR="007669AF" w:rsidRPr="00424050">
        <w:rPr>
          <w:rFonts w:cs="Times New Roman"/>
        </w:rPr>
        <w:t xml:space="preserve"> invece, la creazione del testo del decreto deve essere legata agli </w:t>
      </w:r>
      <w:r w:rsidR="007669AF" w:rsidRPr="00424050">
        <w:rPr>
          <w:rFonts w:eastAsia="TimesNewRomanPSMT" w:cs="Times New Roman"/>
        </w:rPr>
        <w:t>eventi verificatisi a Trezene subito dopo Cheronea, quando il partito filomacedone, preso il potere, costrinse molti cittadini a cercar rifugio proprio in Atene, città in cui furono favorevolmente accolti e onorati con la cittadinanza in memoria dell</w:t>
      </w:r>
      <w:r w:rsidR="003978FF" w:rsidRPr="00424050">
        <w:rPr>
          <w:rFonts w:eastAsia="TimesNewRomanPSMT" w:cs="Times New Roman"/>
        </w:rPr>
        <w:t>’</w:t>
      </w:r>
      <w:r w:rsidR="007669AF" w:rsidRPr="00424050">
        <w:rPr>
          <w:rFonts w:eastAsia="TimesNewRomanPSMT" w:cs="Times New Roman"/>
        </w:rPr>
        <w:t>ospitalità loro concessa nel 480.</w:t>
      </w:r>
    </w:p>
  </w:footnote>
  <w:footnote w:id="86">
    <w:p w14:paraId="3F7EDCAB" w14:textId="0C153C76" w:rsidR="00464DC6" w:rsidRPr="00424050" w:rsidRDefault="00464DC6" w:rsidP="000378D9">
      <w:pPr>
        <w:pStyle w:val="Testonotaapidipagina"/>
        <w:rPr>
          <w:rFonts w:cs="Times New Roman"/>
        </w:rPr>
      </w:pPr>
      <w:r w:rsidRPr="00424050">
        <w:rPr>
          <w:rStyle w:val="Rimandonotaapidipagina"/>
          <w:rFonts w:cs="Times New Roman"/>
        </w:rPr>
        <w:footnoteRef/>
      </w:r>
      <w:r w:rsidRPr="00424050">
        <w:rPr>
          <w:rFonts w:cs="Times New Roman"/>
        </w:rPr>
        <w:t xml:space="preserve"> Per l</w:t>
      </w:r>
      <w:r w:rsidR="003978FF" w:rsidRPr="00424050">
        <w:rPr>
          <w:rFonts w:cs="Times New Roman"/>
        </w:rPr>
        <w:t>’</w:t>
      </w:r>
      <w:r w:rsidRPr="00424050">
        <w:rPr>
          <w:rFonts w:cs="Times New Roman"/>
        </w:rPr>
        <w:t>importanza dell</w:t>
      </w:r>
      <w:r w:rsidR="003978FF" w:rsidRPr="00424050">
        <w:rPr>
          <w:rFonts w:cs="Times New Roman"/>
        </w:rPr>
        <w:t>’</w:t>
      </w:r>
      <w:r w:rsidR="00E34779">
        <w:rPr>
          <w:rFonts w:cs="Times New Roman"/>
        </w:rPr>
        <w:t>a</w:t>
      </w:r>
      <w:r w:rsidRPr="00424050">
        <w:rPr>
          <w:rFonts w:cs="Times New Roman"/>
        </w:rPr>
        <w:t>ttidografo nell</w:t>
      </w:r>
      <w:r w:rsidR="003978FF" w:rsidRPr="00424050">
        <w:rPr>
          <w:rFonts w:cs="Times New Roman"/>
        </w:rPr>
        <w:t>’</w:t>
      </w:r>
      <w:r w:rsidRPr="00424050">
        <w:rPr>
          <w:rFonts w:cs="Times New Roman"/>
        </w:rPr>
        <w:t xml:space="preserve">entourage di Licurgo: </w:t>
      </w:r>
      <w:r w:rsidRPr="00424050">
        <w:rPr>
          <w:rFonts w:cs="Times New Roman"/>
          <w:smallCaps/>
        </w:rPr>
        <w:t>Savo</w:t>
      </w:r>
      <w:r w:rsidR="00C14C4B" w:rsidRPr="00424050">
        <w:rPr>
          <w:rFonts w:cs="Times New Roman"/>
        </w:rPr>
        <w:t xml:space="preserve">, </w:t>
      </w:r>
      <w:r w:rsidR="00C14C4B" w:rsidRPr="00424050">
        <w:rPr>
          <w:rFonts w:cs="Times New Roman"/>
          <w:i/>
          <w:iCs/>
        </w:rPr>
        <w:t>Note fanodemee</w:t>
      </w:r>
      <w:r w:rsidR="00C14C4B" w:rsidRPr="00424050">
        <w:rPr>
          <w:rFonts w:cs="Times New Roman"/>
        </w:rPr>
        <w:t>,</w:t>
      </w:r>
      <w:r w:rsidR="00FC6061" w:rsidRPr="00424050">
        <w:rPr>
          <w:rFonts w:cs="Times New Roman"/>
        </w:rPr>
        <w:t xml:space="preserve"> </w:t>
      </w:r>
      <w:r w:rsidR="00C14C4B" w:rsidRPr="00424050">
        <w:rPr>
          <w:rFonts w:cs="Times New Roman"/>
        </w:rPr>
        <w:t xml:space="preserve">pp. 145-181; </w:t>
      </w:r>
      <w:r w:rsidR="00C14C4B" w:rsidRPr="00424050">
        <w:rPr>
          <w:rFonts w:cs="Times New Roman"/>
          <w:smallCaps/>
        </w:rPr>
        <w:t>Ead</w:t>
      </w:r>
      <w:r w:rsidR="00C14C4B" w:rsidRPr="00424050">
        <w:rPr>
          <w:rFonts w:cs="Times New Roman"/>
        </w:rPr>
        <w:t>.</w:t>
      </w:r>
      <w:r w:rsidR="00E34779">
        <w:t xml:space="preserve">, </w:t>
      </w:r>
      <w:r w:rsidR="000378D9" w:rsidRPr="00424050">
        <w:rPr>
          <w:rFonts w:cs="Times New Roman"/>
          <w:i/>
          <w:iCs/>
        </w:rPr>
        <w:t>Fanodemo di Timetade</w:t>
      </w:r>
      <w:r w:rsidR="000378D9" w:rsidRPr="00424050">
        <w:rPr>
          <w:rFonts w:cs="Times New Roman"/>
        </w:rPr>
        <w:t>, in</w:t>
      </w:r>
      <w:r w:rsidR="00E34779">
        <w:t xml:space="preserve"> </w:t>
      </w:r>
      <w:r w:rsidR="000378D9" w:rsidRPr="00424050">
        <w:rPr>
          <w:rFonts w:cs="Times New Roman"/>
          <w:smallCaps/>
        </w:rPr>
        <w:t xml:space="preserve">Devillers </w:t>
      </w:r>
      <w:r w:rsidR="005703BF" w:rsidRPr="00424050">
        <w:rPr>
          <w:rFonts w:cs="Times New Roman"/>
          <w:smallCaps/>
        </w:rPr>
        <w:t>-</w:t>
      </w:r>
      <w:r w:rsidR="000378D9" w:rsidRPr="00424050">
        <w:rPr>
          <w:rFonts w:cs="Times New Roman"/>
          <w:smallCaps/>
        </w:rPr>
        <w:t xml:space="preserve"> Sebastiani</w:t>
      </w:r>
      <w:r w:rsidR="000378D9" w:rsidRPr="00424050">
        <w:rPr>
          <w:rFonts w:cs="Times New Roman"/>
        </w:rPr>
        <w:t xml:space="preserve"> (eds), </w:t>
      </w:r>
      <w:r w:rsidR="000378D9" w:rsidRPr="00424050">
        <w:rPr>
          <w:rFonts w:cs="Times New Roman"/>
          <w:i/>
          <w:iCs/>
        </w:rPr>
        <w:t>Sources et modèles des historiens anciens</w:t>
      </w:r>
      <w:r w:rsidR="00530A9C" w:rsidRPr="00424050">
        <w:rPr>
          <w:rFonts w:cs="Times New Roman"/>
        </w:rPr>
        <w:t xml:space="preserve">, </w:t>
      </w:r>
      <w:r w:rsidR="000378D9" w:rsidRPr="00424050">
        <w:rPr>
          <w:rFonts w:cs="Times New Roman"/>
        </w:rPr>
        <w:t>pp. 105-112 (con ulteriore bibliografia)</w:t>
      </w:r>
      <w:r w:rsidRPr="00424050">
        <w:rPr>
          <w:rFonts w:cs="Times New Roman"/>
        </w:rPr>
        <w:t>. Sull</w:t>
      </w:r>
      <w:r w:rsidR="003978FF" w:rsidRPr="00424050">
        <w:rPr>
          <w:rFonts w:cs="Times New Roman"/>
        </w:rPr>
        <w:t>’</w:t>
      </w:r>
      <w:r w:rsidRPr="00424050">
        <w:rPr>
          <w:rFonts w:cs="Times New Roman"/>
        </w:rPr>
        <w:t xml:space="preserve">attenzione di Fanodemo </w:t>
      </w:r>
      <w:r w:rsidR="003E00FC" w:rsidRPr="00424050">
        <w:rPr>
          <w:rFonts w:cs="Times New Roman"/>
        </w:rPr>
        <w:t xml:space="preserve">per </w:t>
      </w:r>
      <w:r w:rsidRPr="00424050">
        <w:rPr>
          <w:rFonts w:cs="Times New Roman"/>
        </w:rPr>
        <w:t xml:space="preserve">gli affari di Salamina si rimanda, principalmente, a </w:t>
      </w:r>
      <w:r w:rsidRPr="00424050">
        <w:rPr>
          <w:rFonts w:cs="Times New Roman"/>
          <w:smallCaps/>
        </w:rPr>
        <w:t>Savo</w:t>
      </w:r>
      <w:r w:rsidRPr="00424050">
        <w:rPr>
          <w:rFonts w:cs="Times New Roman"/>
        </w:rPr>
        <w:t xml:space="preserve">, </w:t>
      </w:r>
      <w:r w:rsidR="000378D9" w:rsidRPr="00424050">
        <w:rPr>
          <w:rFonts w:cs="Times New Roman"/>
          <w:i/>
          <w:iCs/>
        </w:rPr>
        <w:t>Fanodemo, Licurgo</w:t>
      </w:r>
      <w:r w:rsidR="000378D9" w:rsidRPr="00424050">
        <w:rPr>
          <w:rFonts w:cs="Times New Roman"/>
        </w:rPr>
        <w:t>.</w:t>
      </w:r>
      <w:r w:rsidR="00405BA7" w:rsidRPr="00424050">
        <w:rPr>
          <w:rFonts w:cs="Times New Roman"/>
        </w:rPr>
        <w:t xml:space="preserve"> Si segnala la prossima pubblicazione di </w:t>
      </w:r>
      <w:r w:rsidR="00405BA7" w:rsidRPr="00424050">
        <w:rPr>
          <w:rFonts w:cs="Times New Roman"/>
          <w:smallCaps/>
        </w:rPr>
        <w:t>Savo</w:t>
      </w:r>
      <w:r w:rsidR="00405BA7" w:rsidRPr="00424050">
        <w:rPr>
          <w:rFonts w:cs="Times New Roman"/>
        </w:rPr>
        <w:t xml:space="preserve">, </w:t>
      </w:r>
      <w:r w:rsidR="00405BA7" w:rsidRPr="00424050">
        <w:rPr>
          <w:rFonts w:cs="Times New Roman"/>
          <w:i/>
          <w:iCs/>
        </w:rPr>
        <w:t>Fanodemo di Atene. Testimonianze e frammenti</w:t>
      </w:r>
      <w:r w:rsidR="00405BA7" w:rsidRPr="00424050">
        <w:rPr>
          <w:rFonts w:cs="Times New Roman"/>
        </w:rPr>
        <w:t>, Tivoli, ics.</w:t>
      </w:r>
    </w:p>
  </w:footnote>
  <w:footnote w:id="87">
    <w:p w14:paraId="16760B1A" w14:textId="21028BCB" w:rsidR="005671A4" w:rsidRPr="00424050" w:rsidRDefault="005671A4" w:rsidP="005671A4">
      <w:pPr>
        <w:pStyle w:val="Testonotaapidipagina"/>
        <w:rPr>
          <w:rFonts w:cs="Times New Roman"/>
        </w:rPr>
      </w:pPr>
      <w:r w:rsidRPr="00424050">
        <w:rPr>
          <w:rStyle w:val="Rimandonotaapidipagina"/>
          <w:rFonts w:cs="Times New Roman"/>
        </w:rPr>
        <w:footnoteRef/>
      </w:r>
      <w:r w:rsidRPr="00424050">
        <w:rPr>
          <w:rFonts w:cs="Times New Roman"/>
        </w:rPr>
        <w:t xml:space="preserve"> </w:t>
      </w:r>
      <w:r w:rsidR="00E34779">
        <w:rPr>
          <w:rFonts w:cs="Times New Roman"/>
        </w:rPr>
        <w:t>P</w:t>
      </w:r>
      <w:r w:rsidRPr="00424050">
        <w:rPr>
          <w:rFonts w:cs="Times New Roman"/>
        </w:rPr>
        <w:t xml:space="preserve">. 7: </w:t>
      </w:r>
      <w:r w:rsidR="00C14C4B" w:rsidRPr="00424050">
        <w:rPr>
          <w:rFonts w:cs="Times New Roman"/>
        </w:rPr>
        <w:t>«</w:t>
      </w:r>
      <w:r w:rsidRPr="00E34779">
        <w:rPr>
          <w:rFonts w:cs="Times New Roman"/>
          <w:lang w:val="en-US"/>
        </w:rPr>
        <w:t>In the course of the next 250 years Athenian religion was affected by various external and internal pressures for change, but as each pressure was removed, the Athenians, explicitly or implicitly, returned to the Lycourgan model</w:t>
      </w:r>
      <w:r w:rsidR="00C14C4B" w:rsidRPr="00424050">
        <w:rPr>
          <w:rFonts w:cs="Times New Roman"/>
        </w:rPr>
        <w:t>»</w:t>
      </w:r>
      <w:r w:rsidRPr="00424050">
        <w:rPr>
          <w:rFonts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C67CE4" w14:textId="2F7A13A9" w:rsidR="003978FF" w:rsidRDefault="003978FF" w:rsidP="003978FF">
    <w:pPr>
      <w:pStyle w:val="Intestazione"/>
      <w:tabs>
        <w:tab w:val="center" w:pos="3261"/>
      </w:tabs>
    </w:pPr>
    <w:r>
      <w:fldChar w:fldCharType="begin"/>
    </w:r>
    <w:r>
      <w:instrText>PAGE   \* MERGEFORMAT</w:instrText>
    </w:r>
    <w:r>
      <w:fldChar w:fldCharType="separate"/>
    </w:r>
    <w:r>
      <w:t>1</w:t>
    </w:r>
    <w:r>
      <w:fldChar w:fldCharType="end"/>
    </w:r>
    <w:r>
      <w:tab/>
    </w:r>
    <w:r w:rsidRPr="003978FF">
      <w:rPr>
        <w:smallCaps/>
      </w:rPr>
      <w:t>maria barbara savo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52A98E" w14:textId="79B3E32E" w:rsidR="003978FF" w:rsidRDefault="003978FF" w:rsidP="003978FF">
    <w:pPr>
      <w:pStyle w:val="Intestazione"/>
      <w:tabs>
        <w:tab w:val="center" w:pos="3261"/>
        <w:tab w:val="right" w:pos="6521"/>
      </w:tabs>
    </w:pPr>
    <w:r>
      <w:tab/>
    </w:r>
    <w:r w:rsidRPr="003978FF">
      <w:rPr>
        <w:smallCaps/>
      </w:rPr>
      <w:t xml:space="preserve">poikilia. frammenti </w:t>
    </w:r>
    <w:r w:rsidRPr="003978FF">
      <w:rPr>
        <w:smallCaps/>
      </w:rPr>
      <w:t>di una trasformazione irreversibile</w:t>
    </w:r>
    <w:r>
      <w:tab/>
    </w:r>
    <w:r>
      <w:fldChar w:fldCharType="begin"/>
    </w:r>
    <w:r>
      <w:instrText>PAGE   \* MERGEFORMAT</w:instrText>
    </w:r>
    <w:r>
      <w:fldChar w:fldCharType="separate"/>
    </w:r>
    <w:r>
      <w:t>1</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C80E48" w14:textId="77777777" w:rsidR="003978FF" w:rsidRDefault="003978F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5268C6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B58DD5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F96FE7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0386E0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17690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7A6BB7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6D408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A5618D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464E4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81CDCC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F7C1BB9"/>
    <w:multiLevelType w:val="hybridMultilevel"/>
    <w:tmpl w:val="6E5EAAF6"/>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num w:numId="1" w16cid:durableId="1781416954">
    <w:abstractNumId w:val="10"/>
  </w:num>
  <w:num w:numId="2" w16cid:durableId="205458751">
    <w:abstractNumId w:val="8"/>
  </w:num>
  <w:num w:numId="3" w16cid:durableId="1707484537">
    <w:abstractNumId w:val="3"/>
  </w:num>
  <w:num w:numId="4" w16cid:durableId="78674417">
    <w:abstractNumId w:val="2"/>
  </w:num>
  <w:num w:numId="5" w16cid:durableId="235554389">
    <w:abstractNumId w:val="1"/>
  </w:num>
  <w:num w:numId="6" w16cid:durableId="883716055">
    <w:abstractNumId w:val="0"/>
  </w:num>
  <w:num w:numId="7" w16cid:durableId="152380906">
    <w:abstractNumId w:val="9"/>
  </w:num>
  <w:num w:numId="8" w16cid:durableId="2068795544">
    <w:abstractNumId w:val="7"/>
  </w:num>
  <w:num w:numId="9" w16cid:durableId="1488592779">
    <w:abstractNumId w:val="6"/>
  </w:num>
  <w:num w:numId="10" w16cid:durableId="362706877">
    <w:abstractNumId w:val="5"/>
  </w:num>
  <w:num w:numId="11" w16cid:durableId="1607541737">
    <w:abstractNumId w:val="4"/>
  </w:num>
  <w:num w:numId="12" w16cid:durableId="1624311321">
    <w:abstractNumId w:val="8"/>
  </w:num>
  <w:num w:numId="13" w16cid:durableId="1186945763">
    <w:abstractNumId w:val="3"/>
  </w:num>
  <w:num w:numId="14" w16cid:durableId="593591217">
    <w:abstractNumId w:val="2"/>
  </w:num>
  <w:num w:numId="15" w16cid:durableId="997926682">
    <w:abstractNumId w:val="1"/>
  </w:num>
  <w:num w:numId="16" w16cid:durableId="15089782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50"/>
  <w:stylePaneFormatFilter w:val="1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0"/>
  <w:defaultTabStop w:val="284"/>
  <w:autoHyphenation/>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BB6"/>
    <w:rsid w:val="0000191D"/>
    <w:rsid w:val="000041E9"/>
    <w:rsid w:val="000044B9"/>
    <w:rsid w:val="00015B19"/>
    <w:rsid w:val="000165EC"/>
    <w:rsid w:val="00017F7E"/>
    <w:rsid w:val="000213D1"/>
    <w:rsid w:val="00021990"/>
    <w:rsid w:val="0002202F"/>
    <w:rsid w:val="000378D9"/>
    <w:rsid w:val="00043D9B"/>
    <w:rsid w:val="00051599"/>
    <w:rsid w:val="00061CDA"/>
    <w:rsid w:val="0006558D"/>
    <w:rsid w:val="0007060D"/>
    <w:rsid w:val="00074F4A"/>
    <w:rsid w:val="00075A58"/>
    <w:rsid w:val="0007635D"/>
    <w:rsid w:val="00080295"/>
    <w:rsid w:val="00080643"/>
    <w:rsid w:val="00084D80"/>
    <w:rsid w:val="00085886"/>
    <w:rsid w:val="00090D5C"/>
    <w:rsid w:val="00092F70"/>
    <w:rsid w:val="00094E85"/>
    <w:rsid w:val="000956BC"/>
    <w:rsid w:val="000A1FDC"/>
    <w:rsid w:val="000A47AD"/>
    <w:rsid w:val="000A5412"/>
    <w:rsid w:val="000B007D"/>
    <w:rsid w:val="000B18B5"/>
    <w:rsid w:val="000B3B1C"/>
    <w:rsid w:val="000B7C5A"/>
    <w:rsid w:val="000C017E"/>
    <w:rsid w:val="000C3578"/>
    <w:rsid w:val="000D0AEF"/>
    <w:rsid w:val="000E3495"/>
    <w:rsid w:val="000E3F03"/>
    <w:rsid w:val="000E464B"/>
    <w:rsid w:val="000E60C7"/>
    <w:rsid w:val="000F2617"/>
    <w:rsid w:val="000F4F51"/>
    <w:rsid w:val="0010342D"/>
    <w:rsid w:val="00107CD5"/>
    <w:rsid w:val="001115AE"/>
    <w:rsid w:val="0011441E"/>
    <w:rsid w:val="00121887"/>
    <w:rsid w:val="00125C46"/>
    <w:rsid w:val="00133BAA"/>
    <w:rsid w:val="00133D6F"/>
    <w:rsid w:val="0014018F"/>
    <w:rsid w:val="00140E18"/>
    <w:rsid w:val="001555BA"/>
    <w:rsid w:val="0015650B"/>
    <w:rsid w:val="00161B61"/>
    <w:rsid w:val="001638F3"/>
    <w:rsid w:val="00166017"/>
    <w:rsid w:val="00172E70"/>
    <w:rsid w:val="00173036"/>
    <w:rsid w:val="00175E08"/>
    <w:rsid w:val="00190145"/>
    <w:rsid w:val="00190E1D"/>
    <w:rsid w:val="001929D9"/>
    <w:rsid w:val="00197C21"/>
    <w:rsid w:val="001A0818"/>
    <w:rsid w:val="001A1985"/>
    <w:rsid w:val="001A2CAB"/>
    <w:rsid w:val="001A7968"/>
    <w:rsid w:val="001B5A82"/>
    <w:rsid w:val="001B7010"/>
    <w:rsid w:val="001C275A"/>
    <w:rsid w:val="001C6D17"/>
    <w:rsid w:val="001C742C"/>
    <w:rsid w:val="001C74BA"/>
    <w:rsid w:val="001D09F0"/>
    <w:rsid w:val="001D0CA9"/>
    <w:rsid w:val="001D0CE0"/>
    <w:rsid w:val="001D0D74"/>
    <w:rsid w:val="001D4CED"/>
    <w:rsid w:val="001D7F38"/>
    <w:rsid w:val="001F027A"/>
    <w:rsid w:val="001F0FAC"/>
    <w:rsid w:val="001F1EF2"/>
    <w:rsid w:val="001F5293"/>
    <w:rsid w:val="00201407"/>
    <w:rsid w:val="00206869"/>
    <w:rsid w:val="00207DB0"/>
    <w:rsid w:val="002128AD"/>
    <w:rsid w:val="002167F2"/>
    <w:rsid w:val="002225EB"/>
    <w:rsid w:val="00223A5C"/>
    <w:rsid w:val="002255C9"/>
    <w:rsid w:val="00226E48"/>
    <w:rsid w:val="002429D1"/>
    <w:rsid w:val="00243DAE"/>
    <w:rsid w:val="0025245A"/>
    <w:rsid w:val="00260AD0"/>
    <w:rsid w:val="00264738"/>
    <w:rsid w:val="002669C3"/>
    <w:rsid w:val="00266EA2"/>
    <w:rsid w:val="00270881"/>
    <w:rsid w:val="002805CD"/>
    <w:rsid w:val="00283976"/>
    <w:rsid w:val="00285AD9"/>
    <w:rsid w:val="00286F5D"/>
    <w:rsid w:val="002910A5"/>
    <w:rsid w:val="002919E7"/>
    <w:rsid w:val="00297BE8"/>
    <w:rsid w:val="002A44DA"/>
    <w:rsid w:val="002B2696"/>
    <w:rsid w:val="002B568D"/>
    <w:rsid w:val="002B79C3"/>
    <w:rsid w:val="002C0B1D"/>
    <w:rsid w:val="002C291A"/>
    <w:rsid w:val="002C31AD"/>
    <w:rsid w:val="002C3EB6"/>
    <w:rsid w:val="002D33C6"/>
    <w:rsid w:val="002D57C4"/>
    <w:rsid w:val="002D7561"/>
    <w:rsid w:val="002D7C05"/>
    <w:rsid w:val="002F0008"/>
    <w:rsid w:val="002F4234"/>
    <w:rsid w:val="002F7C2E"/>
    <w:rsid w:val="0030405C"/>
    <w:rsid w:val="00307193"/>
    <w:rsid w:val="003123AE"/>
    <w:rsid w:val="00312C25"/>
    <w:rsid w:val="00316853"/>
    <w:rsid w:val="00320580"/>
    <w:rsid w:val="0032136F"/>
    <w:rsid w:val="00322136"/>
    <w:rsid w:val="00324205"/>
    <w:rsid w:val="003362AA"/>
    <w:rsid w:val="003376F7"/>
    <w:rsid w:val="00337AA8"/>
    <w:rsid w:val="00346782"/>
    <w:rsid w:val="00347214"/>
    <w:rsid w:val="00350EB0"/>
    <w:rsid w:val="00353298"/>
    <w:rsid w:val="00362D46"/>
    <w:rsid w:val="00363757"/>
    <w:rsid w:val="0036498E"/>
    <w:rsid w:val="003833F3"/>
    <w:rsid w:val="00384BB4"/>
    <w:rsid w:val="00385249"/>
    <w:rsid w:val="00385FFB"/>
    <w:rsid w:val="0039190B"/>
    <w:rsid w:val="003939C9"/>
    <w:rsid w:val="003978FF"/>
    <w:rsid w:val="003A5573"/>
    <w:rsid w:val="003B7BC3"/>
    <w:rsid w:val="003C1BE7"/>
    <w:rsid w:val="003C25D7"/>
    <w:rsid w:val="003C38DD"/>
    <w:rsid w:val="003C553E"/>
    <w:rsid w:val="003C749E"/>
    <w:rsid w:val="003C7FBC"/>
    <w:rsid w:val="003E00FC"/>
    <w:rsid w:val="003E46EA"/>
    <w:rsid w:val="003E5A12"/>
    <w:rsid w:val="003F5810"/>
    <w:rsid w:val="003F7C6F"/>
    <w:rsid w:val="00403487"/>
    <w:rsid w:val="00405BA7"/>
    <w:rsid w:val="00406209"/>
    <w:rsid w:val="00406C4A"/>
    <w:rsid w:val="0041427E"/>
    <w:rsid w:val="00424050"/>
    <w:rsid w:val="004245DF"/>
    <w:rsid w:val="00425013"/>
    <w:rsid w:val="00443509"/>
    <w:rsid w:val="00443BE1"/>
    <w:rsid w:val="00444573"/>
    <w:rsid w:val="00446248"/>
    <w:rsid w:val="00454BB8"/>
    <w:rsid w:val="0046020C"/>
    <w:rsid w:val="004604E3"/>
    <w:rsid w:val="004608CF"/>
    <w:rsid w:val="00461CDD"/>
    <w:rsid w:val="00464DC6"/>
    <w:rsid w:val="0046580E"/>
    <w:rsid w:val="00475AAC"/>
    <w:rsid w:val="0047693B"/>
    <w:rsid w:val="00480E56"/>
    <w:rsid w:val="00482143"/>
    <w:rsid w:val="00485116"/>
    <w:rsid w:val="0048569B"/>
    <w:rsid w:val="00487CEE"/>
    <w:rsid w:val="004905DD"/>
    <w:rsid w:val="004945BC"/>
    <w:rsid w:val="004945BF"/>
    <w:rsid w:val="004A0DCB"/>
    <w:rsid w:val="004A4968"/>
    <w:rsid w:val="004A678F"/>
    <w:rsid w:val="004B4D6F"/>
    <w:rsid w:val="004B7822"/>
    <w:rsid w:val="004C692F"/>
    <w:rsid w:val="004D71C2"/>
    <w:rsid w:val="004E3F0F"/>
    <w:rsid w:val="004E436F"/>
    <w:rsid w:val="004E5CA5"/>
    <w:rsid w:val="00505381"/>
    <w:rsid w:val="005072BF"/>
    <w:rsid w:val="005121FF"/>
    <w:rsid w:val="00516EC6"/>
    <w:rsid w:val="00517BC4"/>
    <w:rsid w:val="00520B42"/>
    <w:rsid w:val="005213A3"/>
    <w:rsid w:val="00523FCB"/>
    <w:rsid w:val="00524F57"/>
    <w:rsid w:val="005250E4"/>
    <w:rsid w:val="00530A9C"/>
    <w:rsid w:val="00533BDC"/>
    <w:rsid w:val="0054355E"/>
    <w:rsid w:val="00543D53"/>
    <w:rsid w:val="00550E63"/>
    <w:rsid w:val="005518F6"/>
    <w:rsid w:val="00555B54"/>
    <w:rsid w:val="00562760"/>
    <w:rsid w:val="00562910"/>
    <w:rsid w:val="00566B0B"/>
    <w:rsid w:val="005671A4"/>
    <w:rsid w:val="005703BF"/>
    <w:rsid w:val="00574B1C"/>
    <w:rsid w:val="00575D36"/>
    <w:rsid w:val="00577FB1"/>
    <w:rsid w:val="00580B4E"/>
    <w:rsid w:val="00584916"/>
    <w:rsid w:val="00587360"/>
    <w:rsid w:val="005879C7"/>
    <w:rsid w:val="00593ED9"/>
    <w:rsid w:val="005A3792"/>
    <w:rsid w:val="005A50F4"/>
    <w:rsid w:val="005A6A8D"/>
    <w:rsid w:val="005D1B72"/>
    <w:rsid w:val="005D2807"/>
    <w:rsid w:val="005E5F84"/>
    <w:rsid w:val="005E7364"/>
    <w:rsid w:val="005F36BB"/>
    <w:rsid w:val="005F452C"/>
    <w:rsid w:val="00600D77"/>
    <w:rsid w:val="00601DC9"/>
    <w:rsid w:val="006049D3"/>
    <w:rsid w:val="00605B73"/>
    <w:rsid w:val="006072AD"/>
    <w:rsid w:val="00614CD2"/>
    <w:rsid w:val="00620882"/>
    <w:rsid w:val="0064093D"/>
    <w:rsid w:val="00641B9B"/>
    <w:rsid w:val="006438E8"/>
    <w:rsid w:val="00644379"/>
    <w:rsid w:val="00646C0F"/>
    <w:rsid w:val="00650A2A"/>
    <w:rsid w:val="00663154"/>
    <w:rsid w:val="0066529F"/>
    <w:rsid w:val="00667980"/>
    <w:rsid w:val="0067312F"/>
    <w:rsid w:val="0067497F"/>
    <w:rsid w:val="00683398"/>
    <w:rsid w:val="0068785D"/>
    <w:rsid w:val="0069257E"/>
    <w:rsid w:val="0069259D"/>
    <w:rsid w:val="006929CD"/>
    <w:rsid w:val="00695E6A"/>
    <w:rsid w:val="006A3C39"/>
    <w:rsid w:val="006A3D12"/>
    <w:rsid w:val="006A5563"/>
    <w:rsid w:val="006B4EEE"/>
    <w:rsid w:val="006C4B7E"/>
    <w:rsid w:val="006C655B"/>
    <w:rsid w:val="006C747D"/>
    <w:rsid w:val="006C7813"/>
    <w:rsid w:val="006D11EC"/>
    <w:rsid w:val="006D32DF"/>
    <w:rsid w:val="006E136D"/>
    <w:rsid w:val="006E4E66"/>
    <w:rsid w:val="006F318E"/>
    <w:rsid w:val="006F47BE"/>
    <w:rsid w:val="006F4A77"/>
    <w:rsid w:val="006F6338"/>
    <w:rsid w:val="006F699A"/>
    <w:rsid w:val="00703F11"/>
    <w:rsid w:val="007042C9"/>
    <w:rsid w:val="0071090B"/>
    <w:rsid w:val="00712174"/>
    <w:rsid w:val="00712D13"/>
    <w:rsid w:val="007167FC"/>
    <w:rsid w:val="0071689E"/>
    <w:rsid w:val="00725336"/>
    <w:rsid w:val="007338AE"/>
    <w:rsid w:val="00747057"/>
    <w:rsid w:val="0074710D"/>
    <w:rsid w:val="00755ADA"/>
    <w:rsid w:val="00756A79"/>
    <w:rsid w:val="00760A62"/>
    <w:rsid w:val="00761F7F"/>
    <w:rsid w:val="00764821"/>
    <w:rsid w:val="007669AF"/>
    <w:rsid w:val="00773F92"/>
    <w:rsid w:val="007836DC"/>
    <w:rsid w:val="00794F13"/>
    <w:rsid w:val="007A0AEE"/>
    <w:rsid w:val="007A5070"/>
    <w:rsid w:val="007B0A52"/>
    <w:rsid w:val="007B1287"/>
    <w:rsid w:val="007B4B4D"/>
    <w:rsid w:val="007C53C7"/>
    <w:rsid w:val="007C57F7"/>
    <w:rsid w:val="007D24E5"/>
    <w:rsid w:val="007D2BCA"/>
    <w:rsid w:val="007D31AB"/>
    <w:rsid w:val="007E3289"/>
    <w:rsid w:val="007E4183"/>
    <w:rsid w:val="007E7109"/>
    <w:rsid w:val="007E7169"/>
    <w:rsid w:val="007F7B14"/>
    <w:rsid w:val="008013F6"/>
    <w:rsid w:val="00802E3D"/>
    <w:rsid w:val="00813580"/>
    <w:rsid w:val="00815336"/>
    <w:rsid w:val="00815E58"/>
    <w:rsid w:val="0082021E"/>
    <w:rsid w:val="00823E67"/>
    <w:rsid w:val="00826875"/>
    <w:rsid w:val="008274B2"/>
    <w:rsid w:val="00831A30"/>
    <w:rsid w:val="00832496"/>
    <w:rsid w:val="00835F79"/>
    <w:rsid w:val="0086406F"/>
    <w:rsid w:val="0087555D"/>
    <w:rsid w:val="00877D4C"/>
    <w:rsid w:val="00880F4B"/>
    <w:rsid w:val="0088178C"/>
    <w:rsid w:val="0088332A"/>
    <w:rsid w:val="008855A6"/>
    <w:rsid w:val="00885FB3"/>
    <w:rsid w:val="0088606F"/>
    <w:rsid w:val="0088751D"/>
    <w:rsid w:val="00887E69"/>
    <w:rsid w:val="00892245"/>
    <w:rsid w:val="008A1934"/>
    <w:rsid w:val="008A3673"/>
    <w:rsid w:val="008A40F4"/>
    <w:rsid w:val="008A5B30"/>
    <w:rsid w:val="008A62D4"/>
    <w:rsid w:val="008A711D"/>
    <w:rsid w:val="008B0E71"/>
    <w:rsid w:val="008B0EFE"/>
    <w:rsid w:val="008B3A0F"/>
    <w:rsid w:val="008C0BF2"/>
    <w:rsid w:val="008C2DD9"/>
    <w:rsid w:val="008C7777"/>
    <w:rsid w:val="008C7AE9"/>
    <w:rsid w:val="008D10F0"/>
    <w:rsid w:val="008D4937"/>
    <w:rsid w:val="008E06E6"/>
    <w:rsid w:val="008E69D3"/>
    <w:rsid w:val="008F5528"/>
    <w:rsid w:val="008F56CE"/>
    <w:rsid w:val="00901520"/>
    <w:rsid w:val="00912D42"/>
    <w:rsid w:val="00916210"/>
    <w:rsid w:val="00917607"/>
    <w:rsid w:val="00917815"/>
    <w:rsid w:val="00920726"/>
    <w:rsid w:val="00922D43"/>
    <w:rsid w:val="00934480"/>
    <w:rsid w:val="00936125"/>
    <w:rsid w:val="00940A32"/>
    <w:rsid w:val="0094237A"/>
    <w:rsid w:val="00946B42"/>
    <w:rsid w:val="00950843"/>
    <w:rsid w:val="00964A34"/>
    <w:rsid w:val="00981F78"/>
    <w:rsid w:val="00982781"/>
    <w:rsid w:val="00985130"/>
    <w:rsid w:val="00987530"/>
    <w:rsid w:val="009910B4"/>
    <w:rsid w:val="00993023"/>
    <w:rsid w:val="00997DAC"/>
    <w:rsid w:val="009A1476"/>
    <w:rsid w:val="009C108F"/>
    <w:rsid w:val="009C4511"/>
    <w:rsid w:val="009C559F"/>
    <w:rsid w:val="009C7C3E"/>
    <w:rsid w:val="009D7BB2"/>
    <w:rsid w:val="009E056A"/>
    <w:rsid w:val="009F3806"/>
    <w:rsid w:val="00A03B4E"/>
    <w:rsid w:val="00A134E3"/>
    <w:rsid w:val="00A158E4"/>
    <w:rsid w:val="00A17B52"/>
    <w:rsid w:val="00A21285"/>
    <w:rsid w:val="00A24B59"/>
    <w:rsid w:val="00A25130"/>
    <w:rsid w:val="00A254BB"/>
    <w:rsid w:val="00A26A02"/>
    <w:rsid w:val="00A33793"/>
    <w:rsid w:val="00A42E08"/>
    <w:rsid w:val="00A44E79"/>
    <w:rsid w:val="00A46F07"/>
    <w:rsid w:val="00A55D2C"/>
    <w:rsid w:val="00A60F16"/>
    <w:rsid w:val="00A6542B"/>
    <w:rsid w:val="00A65C06"/>
    <w:rsid w:val="00A7548C"/>
    <w:rsid w:val="00A76B03"/>
    <w:rsid w:val="00A8260F"/>
    <w:rsid w:val="00A90E22"/>
    <w:rsid w:val="00AA38E6"/>
    <w:rsid w:val="00AA4622"/>
    <w:rsid w:val="00AA7C8E"/>
    <w:rsid w:val="00AB1B48"/>
    <w:rsid w:val="00AB1FFA"/>
    <w:rsid w:val="00AB34D0"/>
    <w:rsid w:val="00AB7D2D"/>
    <w:rsid w:val="00AC540D"/>
    <w:rsid w:val="00AC5A0C"/>
    <w:rsid w:val="00AC6F5B"/>
    <w:rsid w:val="00AD030C"/>
    <w:rsid w:val="00AD2425"/>
    <w:rsid w:val="00AD4369"/>
    <w:rsid w:val="00AD7AC4"/>
    <w:rsid w:val="00AF0883"/>
    <w:rsid w:val="00AF1F75"/>
    <w:rsid w:val="00AF400B"/>
    <w:rsid w:val="00B05713"/>
    <w:rsid w:val="00B05A85"/>
    <w:rsid w:val="00B111F1"/>
    <w:rsid w:val="00B11EA2"/>
    <w:rsid w:val="00B133F0"/>
    <w:rsid w:val="00B15E8F"/>
    <w:rsid w:val="00B17C0D"/>
    <w:rsid w:val="00B2010B"/>
    <w:rsid w:val="00B231D2"/>
    <w:rsid w:val="00B24E64"/>
    <w:rsid w:val="00B329FE"/>
    <w:rsid w:val="00B528ED"/>
    <w:rsid w:val="00B5373A"/>
    <w:rsid w:val="00B57602"/>
    <w:rsid w:val="00B64F30"/>
    <w:rsid w:val="00B710DE"/>
    <w:rsid w:val="00B711AA"/>
    <w:rsid w:val="00B73677"/>
    <w:rsid w:val="00B75BB4"/>
    <w:rsid w:val="00B76CE0"/>
    <w:rsid w:val="00B80B1A"/>
    <w:rsid w:val="00B91BC2"/>
    <w:rsid w:val="00BA560C"/>
    <w:rsid w:val="00BA7ACA"/>
    <w:rsid w:val="00BB5FC8"/>
    <w:rsid w:val="00BC346C"/>
    <w:rsid w:val="00BD43E0"/>
    <w:rsid w:val="00BD6754"/>
    <w:rsid w:val="00BE04BB"/>
    <w:rsid w:val="00BE14FE"/>
    <w:rsid w:val="00BE431C"/>
    <w:rsid w:val="00BE649E"/>
    <w:rsid w:val="00BF2D3D"/>
    <w:rsid w:val="00BF49B8"/>
    <w:rsid w:val="00C00DC8"/>
    <w:rsid w:val="00C032EB"/>
    <w:rsid w:val="00C05372"/>
    <w:rsid w:val="00C11350"/>
    <w:rsid w:val="00C12097"/>
    <w:rsid w:val="00C14C4B"/>
    <w:rsid w:val="00C209FD"/>
    <w:rsid w:val="00C262D7"/>
    <w:rsid w:val="00C276F3"/>
    <w:rsid w:val="00C27E28"/>
    <w:rsid w:val="00C36835"/>
    <w:rsid w:val="00C40A32"/>
    <w:rsid w:val="00C471CB"/>
    <w:rsid w:val="00C47F48"/>
    <w:rsid w:val="00C55DD6"/>
    <w:rsid w:val="00C64570"/>
    <w:rsid w:val="00C678D0"/>
    <w:rsid w:val="00C73D0B"/>
    <w:rsid w:val="00C7733D"/>
    <w:rsid w:val="00C84F90"/>
    <w:rsid w:val="00CA632F"/>
    <w:rsid w:val="00CA6914"/>
    <w:rsid w:val="00CB0758"/>
    <w:rsid w:val="00CB29F0"/>
    <w:rsid w:val="00CB5861"/>
    <w:rsid w:val="00CC7564"/>
    <w:rsid w:val="00CD57F6"/>
    <w:rsid w:val="00CD61B3"/>
    <w:rsid w:val="00CD678A"/>
    <w:rsid w:val="00CE1D94"/>
    <w:rsid w:val="00CE3C9B"/>
    <w:rsid w:val="00CE51D3"/>
    <w:rsid w:val="00CF40E6"/>
    <w:rsid w:val="00CF5394"/>
    <w:rsid w:val="00CF6363"/>
    <w:rsid w:val="00CF74CF"/>
    <w:rsid w:val="00D02C7F"/>
    <w:rsid w:val="00D03DE4"/>
    <w:rsid w:val="00D0466B"/>
    <w:rsid w:val="00D0603A"/>
    <w:rsid w:val="00D10E37"/>
    <w:rsid w:val="00D11566"/>
    <w:rsid w:val="00D123E9"/>
    <w:rsid w:val="00D13B32"/>
    <w:rsid w:val="00D14B63"/>
    <w:rsid w:val="00D1590C"/>
    <w:rsid w:val="00D34EC0"/>
    <w:rsid w:val="00D46EAF"/>
    <w:rsid w:val="00D47C34"/>
    <w:rsid w:val="00D52016"/>
    <w:rsid w:val="00D604FD"/>
    <w:rsid w:val="00D60B27"/>
    <w:rsid w:val="00D65D23"/>
    <w:rsid w:val="00D77C1A"/>
    <w:rsid w:val="00D77CBC"/>
    <w:rsid w:val="00D8643A"/>
    <w:rsid w:val="00D904FB"/>
    <w:rsid w:val="00D91D81"/>
    <w:rsid w:val="00D93427"/>
    <w:rsid w:val="00D97B58"/>
    <w:rsid w:val="00DA2FEB"/>
    <w:rsid w:val="00DA50CD"/>
    <w:rsid w:val="00DA56C5"/>
    <w:rsid w:val="00DA71A4"/>
    <w:rsid w:val="00DC0724"/>
    <w:rsid w:val="00DC275F"/>
    <w:rsid w:val="00DD102B"/>
    <w:rsid w:val="00DD56CA"/>
    <w:rsid w:val="00DF23DE"/>
    <w:rsid w:val="00DF3BEB"/>
    <w:rsid w:val="00DF6E64"/>
    <w:rsid w:val="00E01958"/>
    <w:rsid w:val="00E01CE5"/>
    <w:rsid w:val="00E056E0"/>
    <w:rsid w:val="00E066AF"/>
    <w:rsid w:val="00E10095"/>
    <w:rsid w:val="00E11873"/>
    <w:rsid w:val="00E308D2"/>
    <w:rsid w:val="00E34644"/>
    <w:rsid w:val="00E34779"/>
    <w:rsid w:val="00E41BF1"/>
    <w:rsid w:val="00E51BB6"/>
    <w:rsid w:val="00E52D9B"/>
    <w:rsid w:val="00E54F66"/>
    <w:rsid w:val="00E66F6F"/>
    <w:rsid w:val="00E700C8"/>
    <w:rsid w:val="00E769DB"/>
    <w:rsid w:val="00E76AE7"/>
    <w:rsid w:val="00E80403"/>
    <w:rsid w:val="00E912DC"/>
    <w:rsid w:val="00E928DE"/>
    <w:rsid w:val="00EA00D5"/>
    <w:rsid w:val="00EA31FB"/>
    <w:rsid w:val="00EA673D"/>
    <w:rsid w:val="00EA711F"/>
    <w:rsid w:val="00EA7A6E"/>
    <w:rsid w:val="00EB0558"/>
    <w:rsid w:val="00EB3CAF"/>
    <w:rsid w:val="00EB4FAC"/>
    <w:rsid w:val="00EC3D81"/>
    <w:rsid w:val="00EC4166"/>
    <w:rsid w:val="00ED3B38"/>
    <w:rsid w:val="00ED46C4"/>
    <w:rsid w:val="00ED77A1"/>
    <w:rsid w:val="00EF1089"/>
    <w:rsid w:val="00EF2572"/>
    <w:rsid w:val="00EF3F3A"/>
    <w:rsid w:val="00EF4838"/>
    <w:rsid w:val="00EF49D7"/>
    <w:rsid w:val="00F0570A"/>
    <w:rsid w:val="00F0799C"/>
    <w:rsid w:val="00F158E3"/>
    <w:rsid w:val="00F15EE2"/>
    <w:rsid w:val="00F22AE4"/>
    <w:rsid w:val="00F25FFC"/>
    <w:rsid w:val="00F26880"/>
    <w:rsid w:val="00F36DF0"/>
    <w:rsid w:val="00F37790"/>
    <w:rsid w:val="00F37E15"/>
    <w:rsid w:val="00F64804"/>
    <w:rsid w:val="00F6572E"/>
    <w:rsid w:val="00F66A5C"/>
    <w:rsid w:val="00F7030F"/>
    <w:rsid w:val="00F76F90"/>
    <w:rsid w:val="00F83820"/>
    <w:rsid w:val="00F93B38"/>
    <w:rsid w:val="00F94AE5"/>
    <w:rsid w:val="00F96F09"/>
    <w:rsid w:val="00FA3611"/>
    <w:rsid w:val="00FA57D1"/>
    <w:rsid w:val="00FB1406"/>
    <w:rsid w:val="00FB1886"/>
    <w:rsid w:val="00FB54AF"/>
    <w:rsid w:val="00FC04AD"/>
    <w:rsid w:val="00FC10FE"/>
    <w:rsid w:val="00FC3DCA"/>
    <w:rsid w:val="00FC41F4"/>
    <w:rsid w:val="00FC6061"/>
    <w:rsid w:val="00FD25BF"/>
    <w:rsid w:val="00FD4AB1"/>
    <w:rsid w:val="00FD7A24"/>
    <w:rsid w:val="00FE1155"/>
    <w:rsid w:val="00FE325C"/>
    <w:rsid w:val="00FE7105"/>
    <w:rsid w:val="00FF088E"/>
    <w:rsid w:val="00FF4E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559C2"/>
  <w15:chartTrackingRefBased/>
  <w15:docId w15:val="{8E7D47AA-9229-4674-824E-3C0D06619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703BF"/>
    <w:pPr>
      <w:spacing w:after="0" w:line="240" w:lineRule="auto"/>
    </w:pPr>
    <w:rPr>
      <w:rFonts w:ascii="Garamond Premr Pro" w:hAnsi="Garamond Premr Pro"/>
      <w:kern w:val="0"/>
      <w:sz w:val="24"/>
      <w14:ligatures w14:val="standard"/>
      <w14:numForm w14:val="oldStyle"/>
    </w:rPr>
  </w:style>
  <w:style w:type="paragraph" w:styleId="Titolo1">
    <w:name w:val="heading 1"/>
    <w:basedOn w:val="Normale"/>
    <w:next w:val="Normale"/>
    <w:link w:val="Titolo1Carattere"/>
    <w:uiPriority w:val="9"/>
    <w:qFormat/>
    <w:rsid w:val="00E51B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51B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51BB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51BB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51BB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51BB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51BB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51BB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51BB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51BB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51BB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51BB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51BB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51BB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51BB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51BB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51BB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51BB6"/>
    <w:rPr>
      <w:rFonts w:eastAsiaTheme="majorEastAsia" w:cstheme="majorBidi"/>
      <w:color w:val="272727" w:themeColor="text1" w:themeTint="D8"/>
    </w:rPr>
  </w:style>
  <w:style w:type="paragraph" w:styleId="Titolo">
    <w:name w:val="Title"/>
    <w:basedOn w:val="Normale"/>
    <w:next w:val="Normale"/>
    <w:link w:val="TitoloCarattere"/>
    <w:uiPriority w:val="10"/>
    <w:qFormat/>
    <w:rsid w:val="00E51BB6"/>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51BB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51BB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51BB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51BB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51BB6"/>
    <w:rPr>
      <w:i/>
      <w:iCs/>
      <w:color w:val="404040" w:themeColor="text1" w:themeTint="BF"/>
    </w:rPr>
  </w:style>
  <w:style w:type="paragraph" w:styleId="Paragrafoelenco">
    <w:name w:val="List Paragraph"/>
    <w:basedOn w:val="Normale"/>
    <w:uiPriority w:val="34"/>
    <w:qFormat/>
    <w:rsid w:val="00E51BB6"/>
    <w:pPr>
      <w:ind w:left="720"/>
      <w:contextualSpacing/>
    </w:pPr>
  </w:style>
  <w:style w:type="character" w:styleId="Enfasiintensa">
    <w:name w:val="Intense Emphasis"/>
    <w:basedOn w:val="Carpredefinitoparagrafo"/>
    <w:uiPriority w:val="21"/>
    <w:qFormat/>
    <w:rsid w:val="00E51BB6"/>
    <w:rPr>
      <w:i/>
      <w:iCs/>
      <w:color w:val="0F4761" w:themeColor="accent1" w:themeShade="BF"/>
    </w:rPr>
  </w:style>
  <w:style w:type="paragraph" w:styleId="Citazioneintensa">
    <w:name w:val="Intense Quote"/>
    <w:basedOn w:val="Normale"/>
    <w:next w:val="Normale"/>
    <w:link w:val="CitazioneintensaCarattere"/>
    <w:uiPriority w:val="30"/>
    <w:qFormat/>
    <w:rsid w:val="00E51B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51BB6"/>
    <w:rPr>
      <w:i/>
      <w:iCs/>
      <w:color w:val="0F4761" w:themeColor="accent1" w:themeShade="BF"/>
    </w:rPr>
  </w:style>
  <w:style w:type="character" w:styleId="Riferimentointenso">
    <w:name w:val="Intense Reference"/>
    <w:basedOn w:val="Carpredefinitoparagrafo"/>
    <w:uiPriority w:val="32"/>
    <w:qFormat/>
    <w:rsid w:val="00E51BB6"/>
    <w:rPr>
      <w:b/>
      <w:bCs/>
      <w:smallCaps/>
      <w:color w:val="0F4761" w:themeColor="accent1" w:themeShade="BF"/>
      <w:spacing w:val="5"/>
    </w:rPr>
  </w:style>
  <w:style w:type="character" w:styleId="Rimandonotaapidipagina">
    <w:name w:val="footnote reference"/>
    <w:basedOn w:val="Carpredefinitoparagrafo"/>
    <w:uiPriority w:val="99"/>
    <w:rsid w:val="00E51BB6"/>
    <w:rPr>
      <w:vertAlign w:val="superscript"/>
    </w:rPr>
  </w:style>
  <w:style w:type="character" w:styleId="Enfasicorsivo">
    <w:name w:val="Emphasis"/>
    <w:basedOn w:val="Carpredefinitoparagrafo"/>
    <w:uiPriority w:val="20"/>
    <w:qFormat/>
    <w:rsid w:val="00E51BB6"/>
    <w:rPr>
      <w:i/>
      <w:iCs/>
    </w:rPr>
  </w:style>
  <w:style w:type="paragraph" w:styleId="Testonotaapidipagina">
    <w:name w:val="footnote text"/>
    <w:basedOn w:val="Normale"/>
    <w:link w:val="TestonotaapidipaginaCarattere"/>
    <w:uiPriority w:val="99"/>
    <w:unhideWhenUsed/>
    <w:rsid w:val="005703BF"/>
    <w:pPr>
      <w:widowControl w:val="0"/>
      <w:ind w:firstLine="284"/>
      <w:jc w:val="both"/>
    </w:pPr>
    <w:rPr>
      <w:sz w:val="20"/>
      <w:szCs w:val="20"/>
    </w:rPr>
  </w:style>
  <w:style w:type="character" w:customStyle="1" w:styleId="TestonotaapidipaginaCarattere">
    <w:name w:val="Testo nota a piè di pagina Carattere"/>
    <w:basedOn w:val="Carpredefinitoparagrafo"/>
    <w:link w:val="Testonotaapidipagina"/>
    <w:uiPriority w:val="99"/>
    <w:rsid w:val="005703BF"/>
    <w:rPr>
      <w:rFonts w:ascii="Garamond Premr Pro" w:hAnsi="Garamond Premr Pro"/>
      <w:kern w:val="0"/>
      <w:sz w:val="20"/>
      <w:szCs w:val="20"/>
      <w14:ligatures w14:val="standard"/>
      <w14:numForm w14:val="oldStyle"/>
    </w:rPr>
  </w:style>
  <w:style w:type="character" w:customStyle="1" w:styleId="name">
    <w:name w:val="name"/>
    <w:basedOn w:val="Carpredefinitoparagrafo"/>
    <w:rsid w:val="00E51BB6"/>
  </w:style>
  <w:style w:type="character" w:customStyle="1" w:styleId="personname">
    <w:name w:val="person_name"/>
    <w:basedOn w:val="Carpredefinitoparagrafo"/>
    <w:rsid w:val="00E51BB6"/>
  </w:style>
  <w:style w:type="character" w:customStyle="1" w:styleId="series-title">
    <w:name w:val="series-title"/>
    <w:basedOn w:val="Carpredefinitoparagrafo"/>
    <w:rsid w:val="00E51BB6"/>
  </w:style>
  <w:style w:type="character" w:customStyle="1" w:styleId="publisher-location">
    <w:name w:val="publisher-location"/>
    <w:basedOn w:val="Carpredefinitoparagrafo"/>
    <w:rsid w:val="00E51BB6"/>
  </w:style>
  <w:style w:type="character" w:customStyle="1" w:styleId="print-publication-date">
    <w:name w:val="print-publication-date"/>
    <w:basedOn w:val="Carpredefinitoparagrafo"/>
    <w:rsid w:val="00E51BB6"/>
  </w:style>
  <w:style w:type="character" w:styleId="Collegamentoipertestuale">
    <w:name w:val="Hyperlink"/>
    <w:basedOn w:val="Carpredefinitoparagrafo"/>
    <w:uiPriority w:val="99"/>
    <w:unhideWhenUsed/>
    <w:rsid w:val="005250E4"/>
    <w:rPr>
      <w:color w:val="467886" w:themeColor="hyperlink"/>
      <w:u w:val="single"/>
    </w:rPr>
  </w:style>
  <w:style w:type="character" w:styleId="Menzionenonrisolta">
    <w:name w:val="Unresolved Mention"/>
    <w:basedOn w:val="Carpredefinitoparagrafo"/>
    <w:uiPriority w:val="99"/>
    <w:semiHidden/>
    <w:unhideWhenUsed/>
    <w:rsid w:val="005250E4"/>
    <w:rPr>
      <w:color w:val="605E5C"/>
      <w:shd w:val="clear" w:color="auto" w:fill="E1DFDD"/>
    </w:rPr>
  </w:style>
  <w:style w:type="paragraph" w:styleId="Pidipagina">
    <w:name w:val="footer"/>
    <w:basedOn w:val="Normale"/>
    <w:link w:val="PidipaginaCarattere"/>
    <w:uiPriority w:val="99"/>
    <w:unhideWhenUsed/>
    <w:rsid w:val="00385FFB"/>
    <w:pPr>
      <w:tabs>
        <w:tab w:val="center" w:pos="4819"/>
        <w:tab w:val="right" w:pos="9638"/>
      </w:tabs>
    </w:pPr>
  </w:style>
  <w:style w:type="character" w:customStyle="1" w:styleId="PidipaginaCarattere">
    <w:name w:val="Piè di pagina Carattere"/>
    <w:basedOn w:val="Carpredefinitoparagrafo"/>
    <w:link w:val="Pidipagina"/>
    <w:uiPriority w:val="99"/>
    <w:rsid w:val="00385FFB"/>
    <w:rPr>
      <w:rFonts w:ascii="Garamond Premr Pro" w:hAnsi="Garamond Premr Pro"/>
      <w:kern w:val="0"/>
      <w:sz w:val="24"/>
      <w14:ligatures w14:val="standard"/>
      <w14:numForm w14:val="oldStyle"/>
    </w:rPr>
  </w:style>
  <w:style w:type="paragraph" w:styleId="NormaleWeb">
    <w:name w:val="Normal (Web)"/>
    <w:basedOn w:val="Normale"/>
    <w:uiPriority w:val="99"/>
    <w:semiHidden/>
    <w:unhideWhenUsed/>
    <w:rsid w:val="001A0818"/>
    <w:rPr>
      <w:rFonts w:ascii="Times New Roman" w:hAnsi="Times New Roman" w:cs="Times New Roman"/>
      <w:szCs w:val="24"/>
    </w:rPr>
  </w:style>
  <w:style w:type="character" w:customStyle="1" w:styleId="hi4">
    <w:name w:val="hi4"/>
    <w:basedOn w:val="Carpredefinitoparagrafo"/>
    <w:rsid w:val="0014018F"/>
  </w:style>
  <w:style w:type="paragraph" w:customStyle="1" w:styleId="Citazioni">
    <w:name w:val="Citazioni"/>
    <w:basedOn w:val="Normale"/>
    <w:rsid w:val="00385FFB"/>
    <w:pPr>
      <w:autoSpaceDE w:val="0"/>
      <w:autoSpaceDN w:val="0"/>
      <w:adjustRightInd w:val="0"/>
      <w:spacing w:before="240" w:after="240"/>
      <w:ind w:left="284" w:right="284"/>
      <w:jc w:val="both"/>
    </w:pPr>
    <w:rPr>
      <w:sz w:val="22"/>
    </w:rPr>
  </w:style>
  <w:style w:type="paragraph" w:styleId="Intestazione">
    <w:name w:val="header"/>
    <w:basedOn w:val="Normale"/>
    <w:link w:val="IntestazioneCarattere"/>
    <w:uiPriority w:val="99"/>
    <w:unhideWhenUsed/>
    <w:rsid w:val="003978FF"/>
    <w:pPr>
      <w:jc w:val="both"/>
    </w:pPr>
    <w:rPr>
      <w:sz w:val="22"/>
    </w:rPr>
  </w:style>
  <w:style w:type="character" w:customStyle="1" w:styleId="IntestazioneCarattere">
    <w:name w:val="Intestazione Carattere"/>
    <w:basedOn w:val="Carpredefinitoparagrafo"/>
    <w:link w:val="Intestazione"/>
    <w:uiPriority w:val="99"/>
    <w:rsid w:val="003978FF"/>
    <w:rPr>
      <w:rFonts w:ascii="Garamond Premr Pro" w:hAnsi="Garamond Premr Pro"/>
      <w:kern w:val="0"/>
      <w14:ligatures w14:val="standard"/>
      <w14:numForm w14:val="oldSty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516398">
      <w:bodyDiv w:val="1"/>
      <w:marLeft w:val="0"/>
      <w:marRight w:val="0"/>
      <w:marTop w:val="0"/>
      <w:marBottom w:val="0"/>
      <w:divBdr>
        <w:top w:val="none" w:sz="0" w:space="0" w:color="auto"/>
        <w:left w:val="none" w:sz="0" w:space="0" w:color="auto"/>
        <w:bottom w:val="none" w:sz="0" w:space="0" w:color="auto"/>
        <w:right w:val="none" w:sz="0" w:space="0" w:color="auto"/>
      </w:divBdr>
    </w:div>
    <w:div w:id="121382442">
      <w:bodyDiv w:val="1"/>
      <w:marLeft w:val="0"/>
      <w:marRight w:val="0"/>
      <w:marTop w:val="0"/>
      <w:marBottom w:val="0"/>
      <w:divBdr>
        <w:top w:val="none" w:sz="0" w:space="0" w:color="auto"/>
        <w:left w:val="none" w:sz="0" w:space="0" w:color="auto"/>
        <w:bottom w:val="none" w:sz="0" w:space="0" w:color="auto"/>
        <w:right w:val="none" w:sz="0" w:space="0" w:color="auto"/>
      </w:divBdr>
    </w:div>
    <w:div w:id="125976921">
      <w:bodyDiv w:val="1"/>
      <w:marLeft w:val="0"/>
      <w:marRight w:val="0"/>
      <w:marTop w:val="0"/>
      <w:marBottom w:val="0"/>
      <w:divBdr>
        <w:top w:val="none" w:sz="0" w:space="0" w:color="auto"/>
        <w:left w:val="none" w:sz="0" w:space="0" w:color="auto"/>
        <w:bottom w:val="none" w:sz="0" w:space="0" w:color="auto"/>
        <w:right w:val="none" w:sz="0" w:space="0" w:color="auto"/>
      </w:divBdr>
    </w:div>
    <w:div w:id="149635242">
      <w:bodyDiv w:val="1"/>
      <w:marLeft w:val="0"/>
      <w:marRight w:val="0"/>
      <w:marTop w:val="0"/>
      <w:marBottom w:val="0"/>
      <w:divBdr>
        <w:top w:val="none" w:sz="0" w:space="0" w:color="auto"/>
        <w:left w:val="none" w:sz="0" w:space="0" w:color="auto"/>
        <w:bottom w:val="none" w:sz="0" w:space="0" w:color="auto"/>
        <w:right w:val="none" w:sz="0" w:space="0" w:color="auto"/>
      </w:divBdr>
    </w:div>
    <w:div w:id="414283232">
      <w:bodyDiv w:val="1"/>
      <w:marLeft w:val="0"/>
      <w:marRight w:val="0"/>
      <w:marTop w:val="0"/>
      <w:marBottom w:val="0"/>
      <w:divBdr>
        <w:top w:val="none" w:sz="0" w:space="0" w:color="auto"/>
        <w:left w:val="none" w:sz="0" w:space="0" w:color="auto"/>
        <w:bottom w:val="none" w:sz="0" w:space="0" w:color="auto"/>
        <w:right w:val="none" w:sz="0" w:space="0" w:color="auto"/>
      </w:divBdr>
    </w:div>
    <w:div w:id="496383533">
      <w:bodyDiv w:val="1"/>
      <w:marLeft w:val="0"/>
      <w:marRight w:val="0"/>
      <w:marTop w:val="0"/>
      <w:marBottom w:val="0"/>
      <w:divBdr>
        <w:top w:val="none" w:sz="0" w:space="0" w:color="auto"/>
        <w:left w:val="none" w:sz="0" w:space="0" w:color="auto"/>
        <w:bottom w:val="none" w:sz="0" w:space="0" w:color="auto"/>
        <w:right w:val="none" w:sz="0" w:space="0" w:color="auto"/>
      </w:divBdr>
    </w:div>
    <w:div w:id="554973924">
      <w:bodyDiv w:val="1"/>
      <w:marLeft w:val="0"/>
      <w:marRight w:val="0"/>
      <w:marTop w:val="0"/>
      <w:marBottom w:val="0"/>
      <w:divBdr>
        <w:top w:val="none" w:sz="0" w:space="0" w:color="auto"/>
        <w:left w:val="none" w:sz="0" w:space="0" w:color="auto"/>
        <w:bottom w:val="none" w:sz="0" w:space="0" w:color="auto"/>
        <w:right w:val="none" w:sz="0" w:space="0" w:color="auto"/>
      </w:divBdr>
    </w:div>
    <w:div w:id="614555050">
      <w:bodyDiv w:val="1"/>
      <w:marLeft w:val="0"/>
      <w:marRight w:val="0"/>
      <w:marTop w:val="0"/>
      <w:marBottom w:val="0"/>
      <w:divBdr>
        <w:top w:val="none" w:sz="0" w:space="0" w:color="auto"/>
        <w:left w:val="none" w:sz="0" w:space="0" w:color="auto"/>
        <w:bottom w:val="none" w:sz="0" w:space="0" w:color="auto"/>
        <w:right w:val="none" w:sz="0" w:space="0" w:color="auto"/>
      </w:divBdr>
    </w:div>
    <w:div w:id="625308086">
      <w:bodyDiv w:val="1"/>
      <w:marLeft w:val="0"/>
      <w:marRight w:val="0"/>
      <w:marTop w:val="0"/>
      <w:marBottom w:val="0"/>
      <w:divBdr>
        <w:top w:val="none" w:sz="0" w:space="0" w:color="auto"/>
        <w:left w:val="none" w:sz="0" w:space="0" w:color="auto"/>
        <w:bottom w:val="none" w:sz="0" w:space="0" w:color="auto"/>
        <w:right w:val="none" w:sz="0" w:space="0" w:color="auto"/>
      </w:divBdr>
    </w:div>
    <w:div w:id="656225042">
      <w:bodyDiv w:val="1"/>
      <w:marLeft w:val="0"/>
      <w:marRight w:val="0"/>
      <w:marTop w:val="0"/>
      <w:marBottom w:val="0"/>
      <w:divBdr>
        <w:top w:val="none" w:sz="0" w:space="0" w:color="auto"/>
        <w:left w:val="none" w:sz="0" w:space="0" w:color="auto"/>
        <w:bottom w:val="none" w:sz="0" w:space="0" w:color="auto"/>
        <w:right w:val="none" w:sz="0" w:space="0" w:color="auto"/>
      </w:divBdr>
    </w:div>
    <w:div w:id="843055329">
      <w:bodyDiv w:val="1"/>
      <w:marLeft w:val="0"/>
      <w:marRight w:val="0"/>
      <w:marTop w:val="0"/>
      <w:marBottom w:val="0"/>
      <w:divBdr>
        <w:top w:val="none" w:sz="0" w:space="0" w:color="auto"/>
        <w:left w:val="none" w:sz="0" w:space="0" w:color="auto"/>
        <w:bottom w:val="none" w:sz="0" w:space="0" w:color="auto"/>
        <w:right w:val="none" w:sz="0" w:space="0" w:color="auto"/>
      </w:divBdr>
    </w:div>
    <w:div w:id="916749589">
      <w:bodyDiv w:val="1"/>
      <w:marLeft w:val="0"/>
      <w:marRight w:val="0"/>
      <w:marTop w:val="0"/>
      <w:marBottom w:val="0"/>
      <w:divBdr>
        <w:top w:val="none" w:sz="0" w:space="0" w:color="auto"/>
        <w:left w:val="none" w:sz="0" w:space="0" w:color="auto"/>
        <w:bottom w:val="none" w:sz="0" w:space="0" w:color="auto"/>
        <w:right w:val="none" w:sz="0" w:space="0" w:color="auto"/>
      </w:divBdr>
    </w:div>
    <w:div w:id="918641623">
      <w:bodyDiv w:val="1"/>
      <w:marLeft w:val="0"/>
      <w:marRight w:val="0"/>
      <w:marTop w:val="0"/>
      <w:marBottom w:val="0"/>
      <w:divBdr>
        <w:top w:val="none" w:sz="0" w:space="0" w:color="auto"/>
        <w:left w:val="none" w:sz="0" w:space="0" w:color="auto"/>
        <w:bottom w:val="none" w:sz="0" w:space="0" w:color="auto"/>
        <w:right w:val="none" w:sz="0" w:space="0" w:color="auto"/>
      </w:divBdr>
    </w:div>
    <w:div w:id="976110084">
      <w:bodyDiv w:val="1"/>
      <w:marLeft w:val="0"/>
      <w:marRight w:val="0"/>
      <w:marTop w:val="0"/>
      <w:marBottom w:val="0"/>
      <w:divBdr>
        <w:top w:val="none" w:sz="0" w:space="0" w:color="auto"/>
        <w:left w:val="none" w:sz="0" w:space="0" w:color="auto"/>
        <w:bottom w:val="none" w:sz="0" w:space="0" w:color="auto"/>
        <w:right w:val="none" w:sz="0" w:space="0" w:color="auto"/>
      </w:divBdr>
    </w:div>
    <w:div w:id="1007248683">
      <w:bodyDiv w:val="1"/>
      <w:marLeft w:val="0"/>
      <w:marRight w:val="0"/>
      <w:marTop w:val="0"/>
      <w:marBottom w:val="0"/>
      <w:divBdr>
        <w:top w:val="none" w:sz="0" w:space="0" w:color="auto"/>
        <w:left w:val="none" w:sz="0" w:space="0" w:color="auto"/>
        <w:bottom w:val="none" w:sz="0" w:space="0" w:color="auto"/>
        <w:right w:val="none" w:sz="0" w:space="0" w:color="auto"/>
      </w:divBdr>
    </w:div>
    <w:div w:id="1013922717">
      <w:bodyDiv w:val="1"/>
      <w:marLeft w:val="0"/>
      <w:marRight w:val="0"/>
      <w:marTop w:val="0"/>
      <w:marBottom w:val="0"/>
      <w:divBdr>
        <w:top w:val="none" w:sz="0" w:space="0" w:color="auto"/>
        <w:left w:val="none" w:sz="0" w:space="0" w:color="auto"/>
        <w:bottom w:val="none" w:sz="0" w:space="0" w:color="auto"/>
        <w:right w:val="none" w:sz="0" w:space="0" w:color="auto"/>
      </w:divBdr>
    </w:div>
    <w:div w:id="1037118692">
      <w:bodyDiv w:val="1"/>
      <w:marLeft w:val="0"/>
      <w:marRight w:val="0"/>
      <w:marTop w:val="0"/>
      <w:marBottom w:val="0"/>
      <w:divBdr>
        <w:top w:val="none" w:sz="0" w:space="0" w:color="auto"/>
        <w:left w:val="none" w:sz="0" w:space="0" w:color="auto"/>
        <w:bottom w:val="none" w:sz="0" w:space="0" w:color="auto"/>
        <w:right w:val="none" w:sz="0" w:space="0" w:color="auto"/>
      </w:divBdr>
    </w:div>
    <w:div w:id="1044603982">
      <w:bodyDiv w:val="1"/>
      <w:marLeft w:val="0"/>
      <w:marRight w:val="0"/>
      <w:marTop w:val="0"/>
      <w:marBottom w:val="0"/>
      <w:divBdr>
        <w:top w:val="none" w:sz="0" w:space="0" w:color="auto"/>
        <w:left w:val="none" w:sz="0" w:space="0" w:color="auto"/>
        <w:bottom w:val="none" w:sz="0" w:space="0" w:color="auto"/>
        <w:right w:val="none" w:sz="0" w:space="0" w:color="auto"/>
      </w:divBdr>
    </w:div>
    <w:div w:id="1152404355">
      <w:bodyDiv w:val="1"/>
      <w:marLeft w:val="0"/>
      <w:marRight w:val="0"/>
      <w:marTop w:val="0"/>
      <w:marBottom w:val="0"/>
      <w:divBdr>
        <w:top w:val="none" w:sz="0" w:space="0" w:color="auto"/>
        <w:left w:val="none" w:sz="0" w:space="0" w:color="auto"/>
        <w:bottom w:val="none" w:sz="0" w:space="0" w:color="auto"/>
        <w:right w:val="none" w:sz="0" w:space="0" w:color="auto"/>
      </w:divBdr>
    </w:div>
    <w:div w:id="1227759536">
      <w:bodyDiv w:val="1"/>
      <w:marLeft w:val="0"/>
      <w:marRight w:val="0"/>
      <w:marTop w:val="0"/>
      <w:marBottom w:val="0"/>
      <w:divBdr>
        <w:top w:val="none" w:sz="0" w:space="0" w:color="auto"/>
        <w:left w:val="none" w:sz="0" w:space="0" w:color="auto"/>
        <w:bottom w:val="none" w:sz="0" w:space="0" w:color="auto"/>
        <w:right w:val="none" w:sz="0" w:space="0" w:color="auto"/>
      </w:divBdr>
    </w:div>
    <w:div w:id="1233731770">
      <w:bodyDiv w:val="1"/>
      <w:marLeft w:val="0"/>
      <w:marRight w:val="0"/>
      <w:marTop w:val="0"/>
      <w:marBottom w:val="0"/>
      <w:divBdr>
        <w:top w:val="none" w:sz="0" w:space="0" w:color="auto"/>
        <w:left w:val="none" w:sz="0" w:space="0" w:color="auto"/>
        <w:bottom w:val="none" w:sz="0" w:space="0" w:color="auto"/>
        <w:right w:val="none" w:sz="0" w:space="0" w:color="auto"/>
      </w:divBdr>
    </w:div>
    <w:div w:id="1285232234">
      <w:bodyDiv w:val="1"/>
      <w:marLeft w:val="0"/>
      <w:marRight w:val="0"/>
      <w:marTop w:val="0"/>
      <w:marBottom w:val="0"/>
      <w:divBdr>
        <w:top w:val="none" w:sz="0" w:space="0" w:color="auto"/>
        <w:left w:val="none" w:sz="0" w:space="0" w:color="auto"/>
        <w:bottom w:val="none" w:sz="0" w:space="0" w:color="auto"/>
        <w:right w:val="none" w:sz="0" w:space="0" w:color="auto"/>
      </w:divBdr>
    </w:div>
    <w:div w:id="1345785288">
      <w:bodyDiv w:val="1"/>
      <w:marLeft w:val="0"/>
      <w:marRight w:val="0"/>
      <w:marTop w:val="0"/>
      <w:marBottom w:val="0"/>
      <w:divBdr>
        <w:top w:val="none" w:sz="0" w:space="0" w:color="auto"/>
        <w:left w:val="none" w:sz="0" w:space="0" w:color="auto"/>
        <w:bottom w:val="none" w:sz="0" w:space="0" w:color="auto"/>
        <w:right w:val="none" w:sz="0" w:space="0" w:color="auto"/>
      </w:divBdr>
    </w:div>
    <w:div w:id="1368721539">
      <w:bodyDiv w:val="1"/>
      <w:marLeft w:val="0"/>
      <w:marRight w:val="0"/>
      <w:marTop w:val="0"/>
      <w:marBottom w:val="0"/>
      <w:divBdr>
        <w:top w:val="none" w:sz="0" w:space="0" w:color="auto"/>
        <w:left w:val="none" w:sz="0" w:space="0" w:color="auto"/>
        <w:bottom w:val="none" w:sz="0" w:space="0" w:color="auto"/>
        <w:right w:val="none" w:sz="0" w:space="0" w:color="auto"/>
      </w:divBdr>
    </w:div>
    <w:div w:id="1458832567">
      <w:bodyDiv w:val="1"/>
      <w:marLeft w:val="0"/>
      <w:marRight w:val="0"/>
      <w:marTop w:val="0"/>
      <w:marBottom w:val="0"/>
      <w:divBdr>
        <w:top w:val="none" w:sz="0" w:space="0" w:color="auto"/>
        <w:left w:val="none" w:sz="0" w:space="0" w:color="auto"/>
        <w:bottom w:val="none" w:sz="0" w:space="0" w:color="auto"/>
        <w:right w:val="none" w:sz="0" w:space="0" w:color="auto"/>
      </w:divBdr>
    </w:div>
    <w:div w:id="1587961661">
      <w:bodyDiv w:val="1"/>
      <w:marLeft w:val="0"/>
      <w:marRight w:val="0"/>
      <w:marTop w:val="0"/>
      <w:marBottom w:val="0"/>
      <w:divBdr>
        <w:top w:val="none" w:sz="0" w:space="0" w:color="auto"/>
        <w:left w:val="none" w:sz="0" w:space="0" w:color="auto"/>
        <w:bottom w:val="none" w:sz="0" w:space="0" w:color="auto"/>
        <w:right w:val="none" w:sz="0" w:space="0" w:color="auto"/>
      </w:divBdr>
    </w:div>
    <w:div w:id="1590312139">
      <w:bodyDiv w:val="1"/>
      <w:marLeft w:val="0"/>
      <w:marRight w:val="0"/>
      <w:marTop w:val="0"/>
      <w:marBottom w:val="0"/>
      <w:divBdr>
        <w:top w:val="none" w:sz="0" w:space="0" w:color="auto"/>
        <w:left w:val="none" w:sz="0" w:space="0" w:color="auto"/>
        <w:bottom w:val="none" w:sz="0" w:space="0" w:color="auto"/>
        <w:right w:val="none" w:sz="0" w:space="0" w:color="auto"/>
      </w:divBdr>
    </w:div>
    <w:div w:id="1690830385">
      <w:bodyDiv w:val="1"/>
      <w:marLeft w:val="0"/>
      <w:marRight w:val="0"/>
      <w:marTop w:val="0"/>
      <w:marBottom w:val="0"/>
      <w:divBdr>
        <w:top w:val="none" w:sz="0" w:space="0" w:color="auto"/>
        <w:left w:val="none" w:sz="0" w:space="0" w:color="auto"/>
        <w:bottom w:val="none" w:sz="0" w:space="0" w:color="auto"/>
        <w:right w:val="none" w:sz="0" w:space="0" w:color="auto"/>
      </w:divBdr>
    </w:div>
    <w:div w:id="1729723180">
      <w:bodyDiv w:val="1"/>
      <w:marLeft w:val="0"/>
      <w:marRight w:val="0"/>
      <w:marTop w:val="0"/>
      <w:marBottom w:val="0"/>
      <w:divBdr>
        <w:top w:val="none" w:sz="0" w:space="0" w:color="auto"/>
        <w:left w:val="none" w:sz="0" w:space="0" w:color="auto"/>
        <w:bottom w:val="none" w:sz="0" w:space="0" w:color="auto"/>
        <w:right w:val="none" w:sz="0" w:space="0" w:color="auto"/>
      </w:divBdr>
    </w:div>
    <w:div w:id="1763261968">
      <w:bodyDiv w:val="1"/>
      <w:marLeft w:val="0"/>
      <w:marRight w:val="0"/>
      <w:marTop w:val="0"/>
      <w:marBottom w:val="0"/>
      <w:divBdr>
        <w:top w:val="none" w:sz="0" w:space="0" w:color="auto"/>
        <w:left w:val="none" w:sz="0" w:space="0" w:color="auto"/>
        <w:bottom w:val="none" w:sz="0" w:space="0" w:color="auto"/>
        <w:right w:val="none" w:sz="0" w:space="0" w:color="auto"/>
      </w:divBdr>
    </w:div>
    <w:div w:id="1776755157">
      <w:bodyDiv w:val="1"/>
      <w:marLeft w:val="0"/>
      <w:marRight w:val="0"/>
      <w:marTop w:val="0"/>
      <w:marBottom w:val="0"/>
      <w:divBdr>
        <w:top w:val="none" w:sz="0" w:space="0" w:color="auto"/>
        <w:left w:val="none" w:sz="0" w:space="0" w:color="auto"/>
        <w:bottom w:val="none" w:sz="0" w:space="0" w:color="auto"/>
        <w:right w:val="none" w:sz="0" w:space="0" w:color="auto"/>
      </w:divBdr>
    </w:div>
    <w:div w:id="1860197357">
      <w:bodyDiv w:val="1"/>
      <w:marLeft w:val="0"/>
      <w:marRight w:val="0"/>
      <w:marTop w:val="0"/>
      <w:marBottom w:val="0"/>
      <w:divBdr>
        <w:top w:val="none" w:sz="0" w:space="0" w:color="auto"/>
        <w:left w:val="none" w:sz="0" w:space="0" w:color="auto"/>
        <w:bottom w:val="none" w:sz="0" w:space="0" w:color="auto"/>
        <w:right w:val="none" w:sz="0" w:space="0" w:color="auto"/>
      </w:divBdr>
    </w:div>
    <w:div w:id="1939873435">
      <w:bodyDiv w:val="1"/>
      <w:marLeft w:val="0"/>
      <w:marRight w:val="0"/>
      <w:marTop w:val="0"/>
      <w:marBottom w:val="0"/>
      <w:divBdr>
        <w:top w:val="none" w:sz="0" w:space="0" w:color="auto"/>
        <w:left w:val="none" w:sz="0" w:space="0" w:color="auto"/>
        <w:bottom w:val="none" w:sz="0" w:space="0" w:color="auto"/>
        <w:right w:val="none" w:sz="0" w:space="0" w:color="auto"/>
      </w:divBdr>
    </w:div>
    <w:div w:id="1971399700">
      <w:bodyDiv w:val="1"/>
      <w:marLeft w:val="0"/>
      <w:marRight w:val="0"/>
      <w:marTop w:val="0"/>
      <w:marBottom w:val="0"/>
      <w:divBdr>
        <w:top w:val="none" w:sz="0" w:space="0" w:color="auto"/>
        <w:left w:val="none" w:sz="0" w:space="0" w:color="auto"/>
        <w:bottom w:val="none" w:sz="0" w:space="0" w:color="auto"/>
        <w:right w:val="none" w:sz="0" w:space="0" w:color="auto"/>
      </w:divBdr>
    </w:div>
    <w:div w:id="1976637429">
      <w:bodyDiv w:val="1"/>
      <w:marLeft w:val="0"/>
      <w:marRight w:val="0"/>
      <w:marTop w:val="0"/>
      <w:marBottom w:val="0"/>
      <w:divBdr>
        <w:top w:val="none" w:sz="0" w:space="0" w:color="auto"/>
        <w:left w:val="none" w:sz="0" w:space="0" w:color="auto"/>
        <w:bottom w:val="none" w:sz="0" w:space="0" w:color="auto"/>
        <w:right w:val="none" w:sz="0" w:space="0" w:color="auto"/>
      </w:divBdr>
    </w:div>
    <w:div w:id="2023706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C0D0F3-F252-44DE-8494-113FD1480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Pages>
  <Words>3326</Words>
  <Characters>18963</Characters>
  <Application>Microsoft Office Word</Application>
  <DocSecurity>0</DocSecurity>
  <Lines>158</Lines>
  <Paragraphs>44</Paragraphs>
  <ScaleCrop>false</ScaleCrop>
  <HeadingPairs>
    <vt:vector size="2" baseType="variant">
      <vt:variant>
        <vt:lpstr>Titolo</vt:lpstr>
      </vt:variant>
      <vt:variant>
        <vt:i4>1</vt:i4>
      </vt:variant>
    </vt:vector>
  </HeadingPairs>
  <TitlesOfParts>
    <vt:vector size="1" baseType="lpstr">
      <vt:lpstr>Poikilia. Frammenti di una trasformazione irreversibile</vt:lpstr>
    </vt:vector>
  </TitlesOfParts>
  <Company/>
  <LinksUpToDate>false</LinksUpToDate>
  <CharactersWithSpaces>22245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Poikilia. Frammenti di una trasformazione irreversibile</dc:title>
  <dc:subject/>
  <dc:creator>Maria Barbara Savo</dc:creator>
  <cp:keywords/>
  <dc:description/>
  <cp:lastModifiedBy>virgilio costa</cp:lastModifiedBy>
  <cp:revision>4</cp:revision>
  <cp:lastPrinted>2024-10-30T12:12:00Z</cp:lastPrinted>
  <dcterms:created xsi:type="dcterms:W3CDTF">2024-10-30T13:15:00Z</dcterms:created>
  <dcterms:modified xsi:type="dcterms:W3CDTF">2024-10-30T13:59:00Z</dcterms:modified>
</cp:coreProperties>
</file>